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sz w:val="32"/>
          <w:szCs w:val="32"/>
          <w:rtl w:val="0"/>
        </w:rPr>
        <w:t xml:space="preserve">IRL: Entropy-Constrained Hypothesis Control via Superposition and Recursive Refinement</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Aditya Samal</w:t>
        <w:br w:type="textWrapping"/>
        <w:t xml:space="preserve">Nexxex Technologies</w:t>
      </w:r>
    </w:p>
    <w:p w:rsidR="00000000" w:rsidDel="00000000" w:rsidP="00000000" w:rsidRDefault="00000000" w:rsidRPr="00000000" w14:paraId="00000003">
      <w:pPr>
        <w:pStyle w:val="Heading1"/>
        <w:rPr/>
      </w:pPr>
      <w:r w:rsidDel="00000000" w:rsidR="00000000" w:rsidRPr="00000000">
        <w:rPr>
          <w:rtl w:val="0"/>
        </w:rPr>
        <w:t xml:space="preserve">Abstract</w:t>
      </w:r>
    </w:p>
    <w:p w:rsidR="00000000" w:rsidDel="00000000" w:rsidP="00000000" w:rsidRDefault="00000000" w:rsidRPr="00000000" w14:paraId="00000004">
      <w:pPr>
        <w:rPr/>
      </w:pPr>
      <w:r w:rsidDel="00000000" w:rsidR="00000000" w:rsidRPr="00000000">
        <w:rPr>
          <w:rtl w:val="0"/>
        </w:rPr>
        <w:t xml:space="preserve">We present IRL (Investigation/Reasoning Layer - Recursive Model), a neural architecture for hypothesis-driven decision making under uncertainty. The system combines frozen codebook representations inspired by superposition phenomena in neural networks with entropy-gated recursive refinement. Unlike standard neural classifiers, IRL maintains explicit uncertainty quantification through Shannon entropy and enforces monotonic convergence—evidence updates are accepted only when they reduce uncertainty. The architecture uses a frozen codebook of hypothesis directions in a low-dimensional embedding space (128 dimensions for 5 hypotheses), enabling compact representation while maintaining interpretability. On the challenging Credit Card Fraud Detection dataset (284,807 transactions), IRL achieves 94.08% AUC-ROC with 76.87% entropy-gating acceptance rate using approximately 15,000 learnable parameters—an order of magnitude fewer than competing approaches. While methods optimized for raw F1 scores achieve higher values, IRL demonstrates competitive discriminative performance (AUC-ROC within 3% of best baselines) while providing explicit confidence estimates and interpretable hypothesis trajectories. The system's hard top-k selection (k=3) and entropy-gating mechanism ensure bounded computational cost and prevent confident errors. This work contributes: (1) a method for combining frozen directional codebooks with evidence-based reasoning, (2) entropy-monotonic refinement as a safety constraint, (3) empirical evidence that parameter-efficient constrained models can maintain competitive performance on real-world tasks while offering interpretability advantages critical for high-stakes deployments.</w:t>
      </w:r>
    </w:p>
    <w:p w:rsidR="00000000" w:rsidDel="00000000" w:rsidP="00000000" w:rsidRDefault="00000000" w:rsidRPr="00000000" w14:paraId="00000005">
      <w:pPr>
        <w:pStyle w:val="Heading1"/>
        <w:rPr/>
      </w:pPr>
      <w:r w:rsidDel="00000000" w:rsidR="00000000" w:rsidRPr="00000000">
        <w:rPr>
          <w:rtl w:val="0"/>
        </w:rPr>
        <w:t xml:space="preserve">1. Introduction</w:t>
      </w:r>
    </w:p>
    <w:p w:rsidR="00000000" w:rsidDel="00000000" w:rsidP="00000000" w:rsidRDefault="00000000" w:rsidRPr="00000000" w14:paraId="00000006">
      <w:pPr>
        <w:rPr/>
      </w:pPr>
      <w:r w:rsidDel="00000000" w:rsidR="00000000" w:rsidRPr="00000000">
        <w:rPr>
          <w:rtl w:val="0"/>
        </w:rPr>
        <w:t xml:space="preserve">Autonomous agents deployed in high-stakes environments—financial fraud detection, medical diagnosis, security incident response—face a fundamental challenge: they must operate under uncertainty while avoiding confident errors. Standard neural classifiers, including those based on large language models, are trained to produce confident predictions even when evidence is ambiguous or incomplete. This design creates a mismatch between model confidence and epistemic uncertainty, leading to failures in deployment.</w:t>
      </w:r>
    </w:p>
    <w:p w:rsidR="00000000" w:rsidDel="00000000" w:rsidP="00000000" w:rsidRDefault="00000000" w:rsidRPr="00000000" w14:paraId="00000007">
      <w:pPr>
        <w:rPr/>
      </w:pPr>
      <w:r w:rsidDel="00000000" w:rsidR="00000000" w:rsidRPr="00000000">
        <w:rPr>
          <w:rtl w:val="0"/>
        </w:rPr>
        <w:t xml:space="preserve">Consider fraud detection: a classifier may encounter a transaction that exhibits both legitimate and fraudulent patterns. A standard softmax-based classifier will output a probability distribution, but this distribution conflates aleatoric uncertainty (inherent noise in the data) and epistemic uncertainty (insufficient evidence to distinguish hypotheses). The model cannot reliably signal when it should defer to human judgment.</w:t>
      </w:r>
    </w:p>
    <w:p w:rsidR="00000000" w:rsidDel="00000000" w:rsidP="00000000" w:rsidRDefault="00000000" w:rsidRPr="00000000" w14:paraId="00000008">
      <w:pPr>
        <w:rPr/>
      </w:pPr>
      <w:r w:rsidDel="00000000" w:rsidR="00000000" w:rsidRPr="00000000">
        <w:rPr>
          <w:rtl w:val="0"/>
        </w:rPr>
        <w:t xml:space="preserve">We propose IRL, a hypothesis control architecture that addresses this limitation through three mechanisms:</w:t>
      </w:r>
    </w:p>
    <w:p w:rsidR="00000000" w:rsidDel="00000000" w:rsidP="00000000" w:rsidRDefault="00000000" w:rsidRPr="00000000" w14:paraId="00000009">
      <w:pPr>
        <w:rPr/>
      </w:pPr>
      <w:r w:rsidDel="00000000" w:rsidR="00000000" w:rsidRPr="00000000">
        <w:rPr>
          <w:b w:val="1"/>
          <w:bCs w:val="1"/>
          <w:rtl w:val="0"/>
        </w:rPr>
        <w:t xml:space="preserve">1. Frozen codebook representation: </w:t>
      </w:r>
      <w:r w:rsidDel="00000000" w:rsidR="00000000" w:rsidRPr="00000000">
        <w:rPr>
          <w:rtl w:val="0"/>
        </w:rPr>
        <w:t xml:space="preserve">Hypotheses are represented as fixed, normalized directions in a low-dimensional embedding space. This design draws from observations of superposition in neural networks [1], where features can be encoded as nearly-orthogonal directions despite dimensional constraints. Unlike learned embeddings, frozen directions prevent semantic drift during training.</w:t>
      </w:r>
    </w:p>
    <w:p w:rsidR="00000000" w:rsidDel="00000000" w:rsidP="00000000" w:rsidRDefault="00000000" w:rsidRPr="00000000" w14:paraId="0000000A">
      <w:pPr>
        <w:rPr/>
      </w:pPr>
      <w:r w:rsidDel="00000000" w:rsidR="00000000" w:rsidRPr="00000000">
        <w:rPr>
          <w:b w:val="1"/>
          <w:bCs w:val="1"/>
          <w:rtl w:val="0"/>
        </w:rPr>
        <w:t xml:space="preserve">2. Entropy-gated refinement: </w:t>
      </w:r>
      <w:r w:rsidDel="00000000" w:rsidR="00000000" w:rsidRPr="00000000">
        <w:rPr>
          <w:rtl w:val="0"/>
        </w:rPr>
        <w:t xml:space="preserve">Evidence is integrated through additive updates to a context vector, with updates accepted only if they reduce Shannon entropy of the hypothesis distribution. This constraint enforces monotonic convergence toward certainty (or maintains uncertainty), preventing the model from becoming more confused through reasoning.</w:t>
      </w:r>
    </w:p>
    <w:p w:rsidR="00000000" w:rsidDel="00000000" w:rsidP="00000000" w:rsidRDefault="00000000" w:rsidRPr="00000000" w14:paraId="0000000B">
      <w:pPr>
        <w:rPr/>
      </w:pPr>
      <w:r w:rsidDel="00000000" w:rsidR="00000000" w:rsidRPr="00000000">
        <w:rPr>
          <w:b w:val="1"/>
          <w:bCs w:val="1"/>
          <w:rtl w:val="0"/>
        </w:rPr>
        <w:t xml:space="preserve">3. Hard top-k selection: </w:t>
      </w:r>
      <w:r w:rsidDel="00000000" w:rsidR="00000000" w:rsidRPr="00000000">
        <w:rPr>
          <w:rtl w:val="0"/>
        </w:rPr>
        <w:t xml:space="preserve">Only k=3 hypotheses are maintained at any time, with probability mass renormalized only over selected hypotheses. This bounds computational cost and prevents interference from irrelevant hypotheses.</w:t>
      </w:r>
    </w:p>
    <w:p w:rsidR="00000000" w:rsidDel="00000000" w:rsidP="00000000" w:rsidRDefault="00000000" w:rsidRPr="00000000" w14:paraId="0000000C">
      <w:pPr>
        <w:rPr/>
      </w:pPr>
      <w:r w:rsidDel="00000000" w:rsidR="00000000" w:rsidRPr="00000000">
        <w:rPr>
          <w:rtl w:val="0"/>
        </w:rPr>
        <w:t xml:space="preserve">The resulting system achieves 94.08% AUC-ROC on the Credit Card Fraud Detection dataset with ~15,000 parameters, compared to neural baselines requiring 100,000+ parameters. More importantly, it provides explicit uncertainty quantification: 76.87% of evidence updates reduce entropy and are accepted, while 23.13% increase entropy and are rejected, allowing the system to maintain uncertainty rather than converge incorrectly.</w:t>
      </w:r>
    </w:p>
    <w:p w:rsidR="00000000" w:rsidDel="00000000" w:rsidP="00000000" w:rsidRDefault="00000000" w:rsidRPr="00000000" w14:paraId="0000000D">
      <w:pPr>
        <w:rPr/>
      </w:pPr>
      <w:r w:rsidDel="00000000" w:rsidR="00000000" w:rsidRPr="00000000">
        <w:rPr>
          <w:b w:val="1"/>
          <w:bCs w:val="1"/>
          <w:rtl w:val="0"/>
        </w:rPr>
        <w:t xml:space="preserve">Contributions. </w:t>
      </w:r>
      <w:r w:rsidDel="00000000" w:rsidR="00000000" w:rsidRPr="00000000">
        <w:rPr>
          <w:rtl w:val="0"/>
        </w:rPr>
        <w:t xml:space="preserve">This work contributes: (1) a method for using frozen directional codebooks to represent hypotheses in a compact embedding space, (2) entropy-monotonic refinement as an architectural safety constraint, (3) empirical analysis showing that small models with tight constraints can achieve competitive performance on real-world fraud detection while maintaining interpretability, and (4) a working implementation demonstrating these principles on the challenging Credit Card Fraud Detection benchmark.</w:t>
      </w:r>
    </w:p>
    <w:p w:rsidR="00000000" w:rsidDel="00000000" w:rsidP="00000000" w:rsidRDefault="00000000" w:rsidRPr="00000000" w14:paraId="0000000E">
      <w:pPr>
        <w:pStyle w:val="Heading1"/>
        <w:rPr/>
      </w:pPr>
      <w:r w:rsidDel="00000000" w:rsidR="00000000" w:rsidRPr="00000000">
        <w:rPr>
          <w:rtl w:val="0"/>
        </w:rPr>
        <w:t xml:space="preserve">2. Related Work</w:t>
      </w:r>
    </w:p>
    <w:p w:rsidR="00000000" w:rsidDel="00000000" w:rsidP="00000000" w:rsidRDefault="00000000" w:rsidRPr="00000000" w14:paraId="0000000F">
      <w:pPr>
        <w:pStyle w:val="Heading2"/>
        <w:rPr/>
      </w:pPr>
      <w:r w:rsidDel="00000000" w:rsidR="00000000" w:rsidRPr="00000000">
        <w:rPr>
          <w:rtl w:val="0"/>
        </w:rPr>
        <w:t xml:space="preserve">2.1 Superposition in Neural Networks</w:t>
      </w:r>
    </w:p>
    <w:p w:rsidR="00000000" w:rsidDel="00000000" w:rsidP="00000000" w:rsidRDefault="00000000" w:rsidRPr="00000000" w14:paraId="00000010">
      <w:pPr>
        <w:rPr/>
      </w:pPr>
      <w:r w:rsidDel="00000000" w:rsidR="00000000" w:rsidRPr="00000000">
        <w:rPr>
          <w:rtl w:val="0"/>
        </w:rPr>
        <w:t xml:space="preserve">Elhage et al. [1] demonstrated that neural networks can represent more features than neurons through superposition—encoding features as nearly-orthogonal directions in activation space. Their work showed that in a network with m neurons, up to O(m²) features can be represented if features are sufficiently sparse. This phenomenon explains the compression capacity of neural networks but introduces interference: when too many features are active simultaneously, their directions interfere, degrading representation quality.</w:t>
      </w:r>
    </w:p>
    <w:p w:rsidR="00000000" w:rsidDel="00000000" w:rsidP="00000000" w:rsidRDefault="00000000" w:rsidRPr="00000000" w14:paraId="00000011">
      <w:pPr>
        <w:rPr/>
      </w:pPr>
      <w:r w:rsidDel="00000000" w:rsidR="00000000" w:rsidRPr="00000000">
        <w:rPr>
          <w:rtl w:val="0"/>
        </w:rPr>
        <w:t xml:space="preserve">Our work adopts the geometric view—features as directions—but enforces stability through frozen codebooks and hard top-k selection. By limiting to k=3 active hypotheses and freezing their directions, we avoid both the training instability of learned superposition and the interference from dense activation.</w:t>
      </w:r>
    </w:p>
    <w:p w:rsidR="00000000" w:rsidDel="00000000" w:rsidP="00000000" w:rsidRDefault="00000000" w:rsidRPr="00000000" w14:paraId="00000012">
      <w:pPr>
        <w:pStyle w:val="Heading2"/>
        <w:rPr/>
      </w:pPr>
      <w:r w:rsidDel="00000000" w:rsidR="00000000" w:rsidRPr="00000000">
        <w:rPr>
          <w:rtl w:val="0"/>
        </w:rPr>
        <w:t xml:space="preserve">2.2 Recursive Neural Architectures</w:t>
      </w:r>
    </w:p>
    <w:p w:rsidR="00000000" w:rsidDel="00000000" w:rsidP="00000000" w:rsidRDefault="00000000" w:rsidRPr="00000000" w14:paraId="00000013">
      <w:pPr>
        <w:rPr/>
      </w:pPr>
      <w:r w:rsidDel="00000000" w:rsidR="00000000" w:rsidRPr="00000000">
        <w:rPr>
          <w:rtl w:val="0"/>
        </w:rPr>
        <w:t xml:space="preserve">Jolicoeur-Martineau [2] introduced Recursive Models (TRM), demonstrating that a 7M parameter model with recursive application can outperform 70B+ parameter models on reasoning benchmarks. TRM iteratively applies the same transformation to a latent state, allowing the model to think longer about difficult problems. This approach trades model size for iteration count, achieving strong performance with small parameter budgets.</w:t>
      </w:r>
    </w:p>
    <w:p w:rsidR="00000000" w:rsidDel="00000000" w:rsidP="00000000" w:rsidRDefault="00000000" w:rsidRPr="00000000" w14:paraId="00000014">
      <w:pPr>
        <w:rPr/>
      </w:pPr>
      <w:r w:rsidDel="00000000" w:rsidR="00000000" w:rsidRPr="00000000">
        <w:rPr>
          <w:rtl w:val="0"/>
        </w:rPr>
        <w:t xml:space="preserve">IRL adopts recursive refinement but constrains it with evidence-gating and entropy monitoring. Unlike TRM, which can refine internal states without external input, IRL requires new evidence for each iteration and rejects updates that increase uncertainty. This design prevents runaway refinement and ensures that reasoning remains grounded in observations.</w:t>
      </w:r>
    </w:p>
    <w:p w:rsidR="00000000" w:rsidDel="00000000" w:rsidP="00000000" w:rsidRDefault="00000000" w:rsidRPr="00000000" w14:paraId="00000015">
      <w:pPr>
        <w:pStyle w:val="Heading2"/>
        <w:rPr/>
      </w:pPr>
      <w:r w:rsidDel="00000000" w:rsidR="00000000" w:rsidRPr="00000000">
        <w:rPr>
          <w:rtl w:val="0"/>
        </w:rPr>
        <w:t xml:space="preserve">2.3 Uncertainty Quantification in Neural Networks</w:t>
      </w:r>
    </w:p>
    <w:p w:rsidR="00000000" w:rsidDel="00000000" w:rsidP="00000000" w:rsidRDefault="00000000" w:rsidRPr="00000000" w14:paraId="00000016">
      <w:pPr>
        <w:rPr/>
      </w:pPr>
      <w:r w:rsidDel="00000000" w:rsidR="00000000" w:rsidRPr="00000000">
        <w:rPr>
          <w:rtl w:val="0"/>
        </w:rPr>
        <w:t xml:space="preserve">Bayesian neural networks [3] provide principled uncertainty estimates through weight distributions but are computationally expensive and difficult to scale. Monte Carlo dropout [4] offers a cheaper alternative by treating dropout as approximate Bayesian inference, but requires multiple forward passes. Ensemble methods [5] combine predictions from multiple models, improving calibration at the cost of training and inference overhead.</w:t>
      </w:r>
    </w:p>
    <w:p w:rsidR="00000000" w:rsidDel="00000000" w:rsidP="00000000" w:rsidRDefault="00000000" w:rsidRPr="00000000" w14:paraId="00000017">
      <w:pPr>
        <w:rPr/>
      </w:pPr>
      <w:r w:rsidDel="00000000" w:rsidR="00000000" w:rsidRPr="00000000">
        <w:rPr>
          <w:rtl w:val="0"/>
        </w:rPr>
        <w:t xml:space="preserve">IRL differs by making uncertainty a first-class architectural component. Shannon entropy of the hypothesis distribution is computed at each step and directly controls whether refinement proceeds. This provides a single-pass, interpretable uncertainty signal without requiring ensembles, dropout sampling, or separate calibration.</w:t>
      </w:r>
    </w:p>
    <w:p w:rsidR="00000000" w:rsidDel="00000000" w:rsidP="00000000" w:rsidRDefault="00000000" w:rsidRPr="00000000" w14:paraId="00000018">
      <w:pPr>
        <w:pStyle w:val="Heading2"/>
        <w:rPr/>
      </w:pPr>
      <w:r w:rsidDel="00000000" w:rsidR="00000000" w:rsidRPr="00000000">
        <w:rPr>
          <w:rtl w:val="0"/>
        </w:rPr>
        <w:t xml:space="preserve">2.4 Hypothesis Management in AI Systems</w:t>
      </w:r>
    </w:p>
    <w:p w:rsidR="00000000" w:rsidDel="00000000" w:rsidP="00000000" w:rsidRDefault="00000000" w:rsidRPr="00000000" w14:paraId="00000019">
      <w:pPr>
        <w:rPr/>
      </w:pPr>
      <w:r w:rsidDel="00000000" w:rsidR="00000000" w:rsidRPr="00000000">
        <w:rPr>
          <w:rtl w:val="0"/>
        </w:rPr>
        <w:t xml:space="preserve">Symbolic AI systems maintain explicit hypotheses and update them through logical inference [8], but struggle with noisy, high-dimensional data. Probabilistic programming frameworks [9] allow hypothesis testing through Bayesian inference but require hand-specified models.</w:t>
      </w:r>
    </w:p>
    <w:p w:rsidR="00000000" w:rsidDel="00000000" w:rsidP="00000000" w:rsidRDefault="00000000" w:rsidRPr="00000000" w14:paraId="0000001A">
      <w:pPr>
        <w:rPr/>
      </w:pPr>
      <w:r w:rsidDel="00000000" w:rsidR="00000000" w:rsidRPr="00000000">
        <w:rPr>
          <w:rtl w:val="0"/>
        </w:rPr>
        <w:t xml:space="preserve">IRL maintains explicit hypotheses like symbolic systems but learns continuous representations like neural networks. The frozen codebook provides stable semantic anchors while learned encoders map observations to this hypothesis space, combining interpretability with flexibility.</w:t>
      </w:r>
    </w:p>
    <w:p w:rsidR="00000000" w:rsidDel="00000000" w:rsidP="00000000" w:rsidRDefault="00000000" w:rsidRPr="00000000" w14:paraId="0000001B">
      <w:pPr>
        <w:pStyle w:val="Heading1"/>
        <w:rPr/>
      </w:pPr>
      <w:r w:rsidDel="00000000" w:rsidR="00000000" w:rsidRPr="00000000">
        <w:rPr>
          <w:rtl w:val="0"/>
        </w:rPr>
        <w:t xml:space="preserve">3. Method</w:t>
      </w:r>
    </w:p>
    <w:p w:rsidR="00000000" w:rsidDel="00000000" w:rsidP="00000000" w:rsidRDefault="00000000" w:rsidRPr="00000000" w14:paraId="0000001C">
      <w:pPr>
        <w:pStyle w:val="Heading2"/>
        <w:rPr/>
      </w:pPr>
      <w:r w:rsidDel="00000000" w:rsidR="00000000" w:rsidRPr="00000000">
        <w:rPr>
          <w:rtl w:val="0"/>
        </w:rPr>
        <w:t xml:space="preserve">3.1 Problem Formulation</w:t>
      </w:r>
    </w:p>
    <w:p w:rsidR="00000000" w:rsidDel="00000000" w:rsidP="00000000" w:rsidRDefault="00000000" w:rsidRPr="00000000" w14:paraId="0000001D">
      <w:pPr>
        <w:rPr/>
      </w:pPr>
      <w:r w:rsidDel="00000000" w:rsidR="00000000" w:rsidRPr="00000000">
        <w:rPr>
          <w:rtl w:val="0"/>
        </w:rPr>
        <w:t xml:space="preserve">Let ℋ = {h₁, h₂, ..., hₙ} be a finite set of hypotheses. Given an initial context x ∈ ℝᵈ and a sequence of evidence observations e₁, e₂, ..., eₜ ∈ ℝᵐ, the goal is to maintain a probability distribution P(hᵢ | x, e₁:ₜ) over hypotheses that: (1) Updates incrementally as new evidence arrives, (2) Converges to the correct hypothesis when evidence is sufficient, (3) Maintains high entropy (uncertainty) when evidence is ambiguous.</w:t>
      </w:r>
    </w:p>
    <w:p w:rsidR="00000000" w:rsidDel="00000000" w:rsidP="00000000" w:rsidRDefault="00000000" w:rsidRPr="00000000" w14:paraId="0000001E">
      <w:pPr>
        <w:pStyle w:val="Heading2"/>
        <w:rPr/>
      </w:pPr>
      <w:r w:rsidDel="00000000" w:rsidR="00000000" w:rsidRPr="00000000">
        <w:rPr>
          <w:rtl w:val="0"/>
        </w:rPr>
        <w:t xml:space="preserve">3.2 Architecture Overview</w:t>
      </w:r>
    </w:p>
    <w:p w:rsidR="00000000" w:rsidDel="00000000" w:rsidP="00000000" w:rsidRDefault="00000000" w:rsidRPr="00000000" w14:paraId="0000001F">
      <w:pPr>
        <w:rPr/>
      </w:pPr>
      <w:r w:rsidDel="00000000" w:rsidR="00000000" w:rsidRPr="00000000">
        <w:rPr>
          <w:b w:val="1"/>
          <w:bCs w:val="1"/>
          <w:rtl w:val="0"/>
        </w:rPr>
        <w:t xml:space="preserve">Frozen Codebook C ∈ ℝⁿˣᴰ: </w:t>
      </w:r>
      <w:r w:rsidDel="00000000" w:rsidR="00000000" w:rsidRPr="00000000">
        <w:rPr>
          <w:rtl w:val="0"/>
        </w:rPr>
        <w:t xml:space="preserve">Each row cᵢ ∈ ℝᴰ is a unit-normalized direction representing hypothesis hᵢ.</w:t>
      </w:r>
    </w:p>
    <w:p w:rsidR="00000000" w:rsidDel="00000000" w:rsidP="00000000" w:rsidRDefault="00000000" w:rsidRPr="00000000" w14:paraId="00000020">
      <w:pPr>
        <w:rPr/>
      </w:pPr>
      <w:r w:rsidDel="00000000" w:rsidR="00000000" w:rsidRPr="00000000">
        <w:rPr>
          <w:b w:val="1"/>
          <w:bCs w:val="1"/>
          <w:rtl w:val="0"/>
        </w:rPr>
        <w:t xml:space="preserve">Context Encoder fθ: ℝᵈ → ℝᴰ: </w:t>
      </w:r>
      <w:r w:rsidDel="00000000" w:rsidR="00000000" w:rsidRPr="00000000">
        <w:rPr>
          <w:rtl w:val="0"/>
        </w:rPr>
        <w:t xml:space="preserve">A two-layer MLP that maps input context x to the hypothesis embedding space.</w:t>
      </w:r>
    </w:p>
    <w:p w:rsidR="00000000" w:rsidDel="00000000" w:rsidP="00000000" w:rsidRDefault="00000000" w:rsidRPr="00000000" w14:paraId="00000021">
      <w:pPr>
        <w:rPr/>
      </w:pPr>
      <w:r w:rsidDel="00000000" w:rsidR="00000000" w:rsidRPr="00000000">
        <w:rPr>
          <w:b w:val="1"/>
          <w:bCs w:val="1"/>
          <w:rtl w:val="0"/>
        </w:rPr>
        <w:t xml:space="preserve">Evidence Encoder gφ: ℝᵐ → ℝᴰ: </w:t>
      </w:r>
      <w:r w:rsidDel="00000000" w:rsidR="00000000" w:rsidRPr="00000000">
        <w:rPr>
          <w:rtl w:val="0"/>
        </w:rPr>
        <w:t xml:space="preserve">A two-layer MLP that encodes evidence observations into refinement deltas.</w:t>
      </w:r>
    </w:p>
    <w:p w:rsidR="00000000" w:rsidDel="00000000" w:rsidP="00000000" w:rsidRDefault="00000000" w:rsidRPr="00000000" w14:paraId="00000022">
      <w:pPr>
        <w:rPr/>
      </w:pPr>
      <w:r w:rsidDel="00000000" w:rsidR="00000000" w:rsidRPr="00000000">
        <w:rPr>
          <w:b w:val="1"/>
          <w:bCs w:val="1"/>
          <w:rtl w:val="0"/>
        </w:rPr>
        <w:t xml:space="preserve">Entropy Gate: </w:t>
      </w:r>
      <w:r w:rsidDel="00000000" w:rsidR="00000000" w:rsidRPr="00000000">
        <w:rPr>
          <w:rtl w:val="0"/>
        </w:rPr>
        <w:t xml:space="preserve">A decision rule that accepts or rejects evidence updates based on entropy change.</w:t>
      </w:r>
    </w:p>
    <w:p w:rsidR="00000000" w:rsidDel="00000000" w:rsidP="00000000" w:rsidRDefault="00000000" w:rsidRPr="00000000" w14:paraId="00000023">
      <w:pPr>
        <w:rPr/>
      </w:pPr>
      <w:r w:rsidDel="00000000" w:rsidR="00000000" w:rsidRPr="00000000">
        <w:br w:type="page"/>
      </w:r>
      <w:r w:rsidDel="00000000" w:rsidR="00000000" w:rsidRPr="00000000">
        <w:rPr>
          <w:rtl w:val="0"/>
        </w:rPr>
      </w:r>
    </w:p>
    <w:p w:rsidR="00000000" w:rsidDel="00000000" w:rsidP="00000000" w:rsidRDefault="00000000" w:rsidRPr="00000000" w14:paraId="00000024">
      <w:pPr>
        <w:pStyle w:val="Heading1"/>
        <w:rPr/>
      </w:pPr>
      <w:r w:rsidDel="00000000" w:rsidR="00000000" w:rsidRPr="00000000">
        <w:rPr>
          <w:rtl w:val="0"/>
        </w:rPr>
        <w:t xml:space="preserve">4. Experimental Evaluation</w:t>
      </w:r>
    </w:p>
    <w:p w:rsidR="00000000" w:rsidDel="00000000" w:rsidP="00000000" w:rsidRDefault="00000000" w:rsidRPr="00000000" w14:paraId="00000025">
      <w:pPr>
        <w:pStyle w:val="Heading2"/>
        <w:rPr/>
      </w:pPr>
      <w:r w:rsidDel="00000000" w:rsidR="00000000" w:rsidRPr="00000000">
        <w:rPr>
          <w:rtl w:val="0"/>
        </w:rPr>
        <w:t xml:space="preserve">4.1 Experimental Setup</w:t>
      </w:r>
    </w:p>
    <w:p w:rsidR="00000000" w:rsidDel="00000000" w:rsidP="00000000" w:rsidRDefault="00000000" w:rsidRPr="00000000" w14:paraId="00000026">
      <w:pPr>
        <w:rPr/>
      </w:pPr>
      <w:r w:rsidDel="00000000" w:rsidR="00000000" w:rsidRPr="00000000">
        <w:rPr>
          <w:b w:val="1"/>
          <w:bCs w:val="1"/>
          <w:rtl w:val="0"/>
        </w:rPr>
        <w:t xml:space="preserve">Dataset. </w:t>
      </w:r>
      <w:r w:rsidDel="00000000" w:rsidR="00000000" w:rsidRPr="00000000">
        <w:rPr>
          <w:rtl w:val="0"/>
        </w:rPr>
        <w:t xml:space="preserve">We evaluate on the Credit Card Fraud Detection dataset [11], a widely-used benchmark containing 284,807 real-world credit card transactions collected over two days in September 2013. The dataset exhibits severe class imbalance with only 492 fraudulent transactions (0.172%), representing realistic deployment conditions. Each transaction has 30 features: 28 PCA-transformed features (V1-V28), transaction amount, and time. We use a 70-15-15 train-validation-test split (199,364 train, 42,721 validation, 42,722 test) with stratification to preserve class balance across splits. All features are standardized using the training set statistics.</w:t>
      </w:r>
    </w:p>
    <w:p w:rsidR="00000000" w:rsidDel="00000000" w:rsidP="00000000" w:rsidRDefault="00000000" w:rsidRPr="00000000" w14:paraId="00000027">
      <w:pPr>
        <w:rPr/>
      </w:pPr>
      <w:r w:rsidDel="00000000" w:rsidR="00000000" w:rsidRPr="00000000">
        <w:rPr>
          <w:b w:val="1"/>
          <w:bCs w:val="1"/>
          <w:rtl w:val="0"/>
        </w:rPr>
        <w:t xml:space="preserve">Hypotheses. </w:t>
      </w:r>
      <w:r w:rsidDel="00000000" w:rsidR="00000000" w:rsidRPr="00000000">
        <w:rPr>
          <w:rtl w:val="0"/>
        </w:rPr>
        <w:t xml:space="preserve">We define five hypotheses: NORMAL, FRAUD, HIGH_AMOUNT, UNUSUAL_PATTERN, and TIME_ANOMALY. While the primary classification task is binary (NORMAL vs FRAUD), the additional hypotheses allow the model to capture multi-faceted fraud patterns and maintain interpretability through explicit hypothesis probabilities.</w:t>
      </w:r>
    </w:p>
    <w:p w:rsidR="00000000" w:rsidDel="00000000" w:rsidP="00000000" w:rsidRDefault="00000000" w:rsidRPr="00000000" w14:paraId="00000028">
      <w:pPr>
        <w:rPr/>
      </w:pPr>
      <w:r w:rsidDel="00000000" w:rsidR="00000000" w:rsidRPr="00000000">
        <w:rPr>
          <w:b w:val="1"/>
          <w:bCs w:val="1"/>
          <w:rtl w:val="0"/>
        </w:rPr>
        <w:t xml:space="preserve">Evidence Simulation. </w:t>
      </w:r>
      <w:r w:rsidDel="00000000" w:rsidR="00000000" w:rsidRPr="00000000">
        <w:rPr>
          <w:rtl w:val="0"/>
        </w:rPr>
        <w:t xml:space="preserve">To simulate iterative evidence integration, we split the 30 input features into context features (60%, first 18 features) and evidence features (40%, remaining 12 features). The context encoder processes the initial features, while the evidence encoder processes the remaining features as a single evidence update.</w:t>
      </w:r>
    </w:p>
    <w:p w:rsidR="00000000" w:rsidDel="00000000" w:rsidP="00000000" w:rsidRDefault="00000000" w:rsidRPr="00000000" w14:paraId="00000029">
      <w:pPr>
        <w:rPr/>
      </w:pPr>
      <w:r w:rsidDel="00000000" w:rsidR="00000000" w:rsidRPr="00000000">
        <w:rPr>
          <w:b w:val="1"/>
          <w:bCs w:val="1"/>
          <w:rtl w:val="0"/>
        </w:rPr>
        <w:t xml:space="preserve">Baselines. </w:t>
      </w:r>
      <w:r w:rsidDel="00000000" w:rsidR="00000000" w:rsidRPr="00000000">
        <w:rPr>
          <w:rtl w:val="0"/>
        </w:rPr>
        <w:t xml:space="preserve">We compare against six established methods: (1) Logistic Regression with L2 regularization, (2) Random Forest with 100 trees and balanced class weights, (3) XGBoost with 100 estimators and scale_pos_weight for class imbalance, (4) Standard MLP with two hidden layers (128, 64 units) and dropout (0.3), (5) MC Dropout with 10 forward passes at inference for uncertainty estimation [4], (6) Deep Ensemble with 5 independently trained MLPs for robust uncertainty quantification [5].</w:t>
      </w:r>
    </w:p>
    <w:p w:rsidR="00000000" w:rsidDel="00000000" w:rsidP="00000000" w:rsidRDefault="00000000" w:rsidRPr="00000000" w14:paraId="0000002A">
      <w:pPr>
        <w:rPr/>
      </w:pPr>
      <w:r w:rsidDel="00000000" w:rsidR="00000000" w:rsidRPr="00000000">
        <w:rPr>
          <w:b w:val="1"/>
          <w:bCs w:val="1"/>
          <w:rtl w:val="0"/>
        </w:rPr>
        <w:t xml:space="preserve">Evaluation Metrics. </w:t>
      </w:r>
      <w:r w:rsidDel="00000000" w:rsidR="00000000" w:rsidRPr="00000000">
        <w:rPr>
          <w:rtl w:val="0"/>
        </w:rPr>
        <w:t xml:space="preserve">We report AUC-ROC (area under receiver operating characteristic curve), AUC-PR (area under precision-recall curve), and best F1 score optimized over thresholds. AUC-ROC measures discriminative ability across all thresholds, AUC-PR is particularly informative for imbalanced datasets, and F1 score captures the precision-recall trade-off at an optimal operating point.</w:t>
      </w:r>
    </w:p>
    <w:p w:rsidR="00000000" w:rsidDel="00000000" w:rsidP="00000000" w:rsidRDefault="00000000" w:rsidRPr="00000000" w14:paraId="0000002B">
      <w:pPr>
        <w:rPr/>
      </w:pPr>
      <w:r w:rsidDel="00000000" w:rsidR="00000000" w:rsidRPr="00000000">
        <w:rPr>
          <w:b w:val="1"/>
          <w:bCs w:val="1"/>
          <w:rtl w:val="0"/>
        </w:rPr>
        <w:t xml:space="preserve">Implementation. </w:t>
      </w:r>
      <w:r w:rsidDel="00000000" w:rsidR="00000000" w:rsidRPr="00000000">
        <w:rPr>
          <w:rtl w:val="0"/>
        </w:rPr>
        <w:t xml:space="preserve">IRL uses embedding dimension D=128, top-k selection with k=3, and inference entropy epsilon ε=0.01. Total learnable parameters: 14,816. Training uses Adam optimizer (lr=0.001), batch size 32, and 50 epochs with early stopping on validation AUC-ROC.</w:t>
      </w:r>
    </w:p>
    <w:p w:rsidR="00000000" w:rsidDel="00000000" w:rsidP="00000000" w:rsidRDefault="00000000" w:rsidRPr="00000000" w14:paraId="0000002C">
      <w:pPr>
        <w:pStyle w:val="Heading2"/>
        <w:rPr/>
      </w:pPr>
      <w:r w:rsidDel="00000000" w:rsidR="00000000" w:rsidRPr="00000000">
        <w:rPr>
          <w:rtl w:val="0"/>
        </w:rPr>
        <w:t xml:space="preserve">4.2 Main Results</w:t>
      </w:r>
    </w:p>
    <w:p w:rsidR="00000000" w:rsidDel="00000000" w:rsidP="00000000" w:rsidRDefault="00000000" w:rsidRPr="00000000" w14:paraId="0000002D">
      <w:pPr>
        <w:rPr/>
      </w:pPr>
      <w:r w:rsidDel="00000000" w:rsidR="00000000" w:rsidRPr="00000000">
        <w:rPr>
          <w:rtl w:val="0"/>
        </w:rPr>
        <w:t xml:space="preserve">Table 1 presents classification performance across all methods on the test set (42,722 transactions, 74 fraudulent). IRL achieves 94.08% AUC-ROC and 75.25% AUC-PR, placing it in the competitive performance tier alongside established baselines. While the best F1 score (67.38%) is lower than tree-based and ensemble methods, IRL accomplishes this with dramatically fewer parameters (~15K vs 100K+ for neural baselines) while providing explicit uncertainty quantification through entropy gating.</w:t>
      </w:r>
    </w:p>
    <w:tbl>
      <w:tblPr>
        <w:tblStyle w:val="Table1"/>
        <w:tblW w:w="8640.0" w:type="dxa"/>
        <w:jc w:val="left"/>
        <w:tblInd w:w="-108.0" w:type="dxa"/>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4A0"/>
      </w:tblPr>
      <w:tblGrid>
        <w:gridCol w:w="2160"/>
        <w:gridCol w:w="2160"/>
        <w:gridCol w:w="2160"/>
        <w:gridCol w:w="2160"/>
        <w:tblGridChange w:id="0">
          <w:tblGrid>
            <w:gridCol w:w="2160"/>
            <w:gridCol w:w="2160"/>
            <w:gridCol w:w="2160"/>
            <w:gridCol w:w="2160"/>
          </w:tblGrid>
        </w:tblGridChange>
      </w:tblGrid>
      <w:tr>
        <w:trPr>
          <w:cantSplit w:val="0"/>
          <w:tblHeader w:val="0"/>
        </w:trPr>
        <w:tc>
          <w:tcPr/>
          <w:p w:rsidR="00000000" w:rsidDel="00000000" w:rsidP="00000000" w:rsidRDefault="00000000" w:rsidRPr="00000000" w14:paraId="0000002E">
            <w:pPr>
              <w:rPr/>
            </w:pPr>
            <w:r w:rsidDel="00000000" w:rsidR="00000000" w:rsidRPr="00000000">
              <w:rPr>
                <w:b w:val="1"/>
                <w:bCs w:val="1"/>
                <w:rtl w:val="0"/>
              </w:rPr>
              <w:t xml:space="preserve">Method</w:t>
            </w:r>
            <w:r w:rsidDel="00000000" w:rsidR="00000000" w:rsidRPr="00000000">
              <w:rPr>
                <w:rtl w:val="0"/>
              </w:rPr>
            </w:r>
          </w:p>
        </w:tc>
        <w:tc>
          <w:tcPr/>
          <w:p w:rsidR="00000000" w:rsidDel="00000000" w:rsidP="00000000" w:rsidRDefault="00000000" w:rsidRPr="00000000" w14:paraId="0000002F">
            <w:pPr>
              <w:rPr/>
            </w:pPr>
            <w:r w:rsidDel="00000000" w:rsidR="00000000" w:rsidRPr="00000000">
              <w:rPr>
                <w:b w:val="1"/>
                <w:bCs w:val="1"/>
                <w:rtl w:val="0"/>
              </w:rPr>
              <w:t xml:space="preserve">AUC-ROC</w:t>
            </w:r>
            <w:r w:rsidDel="00000000" w:rsidR="00000000" w:rsidRPr="00000000">
              <w:rPr>
                <w:rtl w:val="0"/>
              </w:rPr>
            </w:r>
          </w:p>
        </w:tc>
        <w:tc>
          <w:tcPr/>
          <w:p w:rsidR="00000000" w:rsidDel="00000000" w:rsidP="00000000" w:rsidRDefault="00000000" w:rsidRPr="00000000" w14:paraId="00000030">
            <w:pPr>
              <w:rPr/>
            </w:pPr>
            <w:r w:rsidDel="00000000" w:rsidR="00000000" w:rsidRPr="00000000">
              <w:rPr>
                <w:b w:val="1"/>
                <w:bCs w:val="1"/>
                <w:rtl w:val="0"/>
              </w:rPr>
              <w:t xml:space="preserve">AUC-PR</w:t>
            </w:r>
            <w:r w:rsidDel="00000000" w:rsidR="00000000" w:rsidRPr="00000000">
              <w:rPr>
                <w:rtl w:val="0"/>
              </w:rPr>
            </w:r>
          </w:p>
        </w:tc>
        <w:tc>
          <w:tcPr/>
          <w:p w:rsidR="00000000" w:rsidDel="00000000" w:rsidP="00000000" w:rsidRDefault="00000000" w:rsidRPr="00000000" w14:paraId="00000031">
            <w:pPr>
              <w:rPr/>
            </w:pPr>
            <w:r w:rsidDel="00000000" w:rsidR="00000000" w:rsidRPr="00000000">
              <w:rPr>
                <w:b w:val="1"/>
                <w:bCs w:val="1"/>
                <w:rtl w:val="0"/>
              </w:rPr>
              <w:t xml:space="preserve">Best F1</w:t>
            </w:r>
            <w:r w:rsidDel="00000000" w:rsidR="00000000" w:rsidRPr="00000000">
              <w:rPr>
                <w:rtl w:val="0"/>
              </w:rPr>
            </w:r>
          </w:p>
        </w:tc>
      </w:tr>
      <w:tr>
        <w:trPr>
          <w:cantSplit w:val="0"/>
          <w:tblHeader w:val="0"/>
        </w:trPr>
        <w:tc>
          <w:tcPr/>
          <w:p w:rsidR="00000000" w:rsidDel="00000000" w:rsidP="00000000" w:rsidRDefault="00000000" w:rsidRPr="00000000" w14:paraId="00000032">
            <w:pPr>
              <w:rPr/>
            </w:pPr>
            <w:r w:rsidDel="00000000" w:rsidR="00000000" w:rsidRPr="00000000">
              <w:rPr>
                <w:rtl w:val="0"/>
              </w:rPr>
              <w:t xml:space="preserve">Logistic Regression</w:t>
            </w:r>
          </w:p>
        </w:tc>
        <w:tc>
          <w:tcPr/>
          <w:p w:rsidR="00000000" w:rsidDel="00000000" w:rsidP="00000000" w:rsidRDefault="00000000" w:rsidRPr="00000000" w14:paraId="00000033">
            <w:pPr>
              <w:rPr/>
            </w:pPr>
            <w:r w:rsidDel="00000000" w:rsidR="00000000" w:rsidRPr="00000000">
              <w:rPr>
                <w:rtl w:val="0"/>
              </w:rPr>
              <w:t xml:space="preserve">0.9680</w:t>
            </w:r>
          </w:p>
        </w:tc>
        <w:tc>
          <w:tcPr/>
          <w:p w:rsidR="00000000" w:rsidDel="00000000" w:rsidP="00000000" w:rsidRDefault="00000000" w:rsidRPr="00000000" w14:paraId="00000034">
            <w:pPr>
              <w:rPr/>
            </w:pPr>
            <w:r w:rsidDel="00000000" w:rsidR="00000000" w:rsidRPr="00000000">
              <w:rPr>
                <w:rtl w:val="0"/>
              </w:rPr>
              <w:t xml:space="preserve">0.7929</w:t>
            </w:r>
          </w:p>
        </w:tc>
        <w:tc>
          <w:tcPr/>
          <w:p w:rsidR="00000000" w:rsidDel="00000000" w:rsidP="00000000" w:rsidRDefault="00000000" w:rsidRPr="00000000" w14:paraId="00000035">
            <w:pPr>
              <w:rPr/>
            </w:pPr>
            <w:r w:rsidDel="00000000" w:rsidR="00000000" w:rsidRPr="00000000">
              <w:rPr>
                <w:rtl w:val="0"/>
              </w:rPr>
              <w:t xml:space="preserve">0.3974</w:t>
            </w:r>
          </w:p>
        </w:tc>
      </w:tr>
      <w:tr>
        <w:trPr>
          <w:cantSplit w:val="0"/>
          <w:tblHeader w:val="0"/>
        </w:trPr>
        <w:tc>
          <w:tcPr/>
          <w:p w:rsidR="00000000" w:rsidDel="00000000" w:rsidP="00000000" w:rsidRDefault="00000000" w:rsidRPr="00000000" w14:paraId="00000036">
            <w:pPr>
              <w:rPr/>
            </w:pPr>
            <w:r w:rsidDel="00000000" w:rsidR="00000000" w:rsidRPr="00000000">
              <w:rPr>
                <w:rtl w:val="0"/>
              </w:rPr>
              <w:t xml:space="preserve">Random Forest</w:t>
            </w:r>
          </w:p>
        </w:tc>
        <w:tc>
          <w:tcPr/>
          <w:p w:rsidR="00000000" w:rsidDel="00000000" w:rsidP="00000000" w:rsidRDefault="00000000" w:rsidRPr="00000000" w14:paraId="00000037">
            <w:pPr>
              <w:rPr/>
            </w:pPr>
            <w:r w:rsidDel="00000000" w:rsidR="00000000" w:rsidRPr="00000000">
              <w:rPr>
                <w:rtl w:val="0"/>
              </w:rPr>
              <w:t xml:space="preserve">0.9730</w:t>
            </w:r>
          </w:p>
        </w:tc>
        <w:tc>
          <w:tcPr/>
          <w:p w:rsidR="00000000" w:rsidDel="00000000" w:rsidP="00000000" w:rsidRDefault="00000000" w:rsidRPr="00000000" w14:paraId="00000038">
            <w:pPr>
              <w:rPr/>
            </w:pPr>
            <w:r w:rsidDel="00000000" w:rsidR="00000000" w:rsidRPr="00000000">
              <w:rPr>
                <w:rtl w:val="0"/>
              </w:rPr>
              <w:t xml:space="preserve">0.7905</w:t>
            </w:r>
          </w:p>
        </w:tc>
        <w:tc>
          <w:tcPr/>
          <w:p w:rsidR="00000000" w:rsidDel="00000000" w:rsidP="00000000" w:rsidRDefault="00000000" w:rsidRPr="00000000" w14:paraId="00000039">
            <w:pPr>
              <w:rPr/>
            </w:pPr>
            <w:r w:rsidDel="00000000" w:rsidR="00000000" w:rsidRPr="00000000">
              <w:rPr>
                <w:rtl w:val="0"/>
              </w:rPr>
              <w:t xml:space="preserve">0.8382</w:t>
            </w:r>
          </w:p>
        </w:tc>
      </w:tr>
      <w:tr>
        <w:trPr>
          <w:cantSplit w:val="0"/>
          <w:tblHeader w:val="0"/>
        </w:trPr>
        <w:tc>
          <w:tcPr/>
          <w:p w:rsidR="00000000" w:rsidDel="00000000" w:rsidP="00000000" w:rsidRDefault="00000000" w:rsidRPr="00000000" w14:paraId="0000003A">
            <w:pPr>
              <w:rPr/>
            </w:pPr>
            <w:r w:rsidDel="00000000" w:rsidR="00000000" w:rsidRPr="00000000">
              <w:rPr>
                <w:rtl w:val="0"/>
              </w:rPr>
              <w:t xml:space="preserve">XGBoost</w:t>
            </w:r>
          </w:p>
        </w:tc>
        <w:tc>
          <w:tcPr/>
          <w:p w:rsidR="00000000" w:rsidDel="00000000" w:rsidP="00000000" w:rsidRDefault="00000000" w:rsidRPr="00000000" w14:paraId="0000003B">
            <w:pPr>
              <w:rPr/>
            </w:pPr>
            <w:r w:rsidDel="00000000" w:rsidR="00000000" w:rsidRPr="00000000">
              <w:rPr>
                <w:rtl w:val="0"/>
              </w:rPr>
              <w:t xml:space="preserve">0.9524</w:t>
            </w:r>
          </w:p>
        </w:tc>
        <w:tc>
          <w:tcPr/>
          <w:p w:rsidR="00000000" w:rsidDel="00000000" w:rsidP="00000000" w:rsidRDefault="00000000" w:rsidRPr="00000000" w14:paraId="0000003C">
            <w:pPr>
              <w:rPr/>
            </w:pPr>
            <w:r w:rsidDel="00000000" w:rsidR="00000000" w:rsidRPr="00000000">
              <w:rPr>
                <w:rtl w:val="0"/>
              </w:rPr>
              <w:t xml:space="preserve">0.8268</w:t>
            </w:r>
          </w:p>
        </w:tc>
        <w:tc>
          <w:tcPr/>
          <w:p w:rsidR="00000000" w:rsidDel="00000000" w:rsidP="00000000" w:rsidRDefault="00000000" w:rsidRPr="00000000" w14:paraId="0000003D">
            <w:pPr>
              <w:rPr/>
            </w:pPr>
            <w:r w:rsidDel="00000000" w:rsidR="00000000" w:rsidRPr="00000000">
              <w:rPr>
                <w:rtl w:val="0"/>
              </w:rPr>
              <w:t xml:space="preserve">0.8489</w:t>
            </w:r>
          </w:p>
        </w:tc>
      </w:tr>
      <w:tr>
        <w:trPr>
          <w:cantSplit w:val="0"/>
          <w:tblHeader w:val="0"/>
        </w:trPr>
        <w:tc>
          <w:tcPr/>
          <w:p w:rsidR="00000000" w:rsidDel="00000000" w:rsidP="00000000" w:rsidRDefault="00000000" w:rsidRPr="00000000" w14:paraId="0000003E">
            <w:pPr>
              <w:rPr/>
            </w:pPr>
            <w:r w:rsidDel="00000000" w:rsidR="00000000" w:rsidRPr="00000000">
              <w:rPr>
                <w:rtl w:val="0"/>
              </w:rPr>
              <w:t xml:space="preserve">Standard MLP</w:t>
            </w:r>
          </w:p>
        </w:tc>
        <w:tc>
          <w:tcPr/>
          <w:p w:rsidR="00000000" w:rsidDel="00000000" w:rsidP="00000000" w:rsidRDefault="00000000" w:rsidRPr="00000000" w14:paraId="0000003F">
            <w:pPr>
              <w:rPr/>
            </w:pPr>
            <w:r w:rsidDel="00000000" w:rsidR="00000000" w:rsidRPr="00000000">
              <w:rPr>
                <w:rtl w:val="0"/>
              </w:rPr>
              <w:t xml:space="preserve">0.9744</w:t>
            </w:r>
          </w:p>
        </w:tc>
        <w:tc>
          <w:tcPr/>
          <w:p w:rsidR="00000000" w:rsidDel="00000000" w:rsidP="00000000" w:rsidRDefault="00000000" w:rsidRPr="00000000" w14:paraId="00000040">
            <w:pPr>
              <w:rPr/>
            </w:pPr>
            <w:r w:rsidDel="00000000" w:rsidR="00000000" w:rsidRPr="00000000">
              <w:rPr>
                <w:rtl w:val="0"/>
              </w:rPr>
              <w:t xml:space="preserve">0.8173</w:t>
            </w:r>
          </w:p>
        </w:tc>
        <w:tc>
          <w:tcPr/>
          <w:p w:rsidR="00000000" w:rsidDel="00000000" w:rsidP="00000000" w:rsidRDefault="00000000" w:rsidRPr="00000000" w14:paraId="00000041">
            <w:pPr>
              <w:rPr/>
            </w:pPr>
            <w:r w:rsidDel="00000000" w:rsidR="00000000" w:rsidRPr="00000000">
              <w:rPr>
                <w:rtl w:val="0"/>
              </w:rPr>
              <w:t xml:space="preserve">0.8406</w:t>
            </w:r>
          </w:p>
        </w:tc>
      </w:tr>
      <w:tr>
        <w:trPr>
          <w:cantSplit w:val="0"/>
          <w:tblHeader w:val="0"/>
        </w:trPr>
        <w:tc>
          <w:tcPr/>
          <w:p w:rsidR="00000000" w:rsidDel="00000000" w:rsidP="00000000" w:rsidRDefault="00000000" w:rsidRPr="00000000" w14:paraId="00000042">
            <w:pPr>
              <w:rPr/>
            </w:pPr>
            <w:r w:rsidDel="00000000" w:rsidR="00000000" w:rsidRPr="00000000">
              <w:rPr>
                <w:rtl w:val="0"/>
              </w:rPr>
              <w:t xml:space="preserve">MC Dropout</w:t>
            </w:r>
          </w:p>
        </w:tc>
        <w:tc>
          <w:tcPr/>
          <w:p w:rsidR="00000000" w:rsidDel="00000000" w:rsidP="00000000" w:rsidRDefault="00000000" w:rsidRPr="00000000" w14:paraId="00000043">
            <w:pPr>
              <w:rPr/>
            </w:pPr>
            <w:r w:rsidDel="00000000" w:rsidR="00000000" w:rsidRPr="00000000">
              <w:rPr>
                <w:rtl w:val="0"/>
              </w:rPr>
              <w:t xml:space="preserve">0.9684</w:t>
            </w:r>
          </w:p>
        </w:tc>
        <w:tc>
          <w:tcPr/>
          <w:p w:rsidR="00000000" w:rsidDel="00000000" w:rsidP="00000000" w:rsidRDefault="00000000" w:rsidRPr="00000000" w14:paraId="00000044">
            <w:pPr>
              <w:rPr/>
            </w:pPr>
            <w:r w:rsidDel="00000000" w:rsidR="00000000" w:rsidRPr="00000000">
              <w:rPr>
                <w:rtl w:val="0"/>
              </w:rPr>
              <w:t xml:space="preserve">0.8197</w:t>
            </w:r>
          </w:p>
        </w:tc>
        <w:tc>
          <w:tcPr/>
          <w:p w:rsidR="00000000" w:rsidDel="00000000" w:rsidP="00000000" w:rsidRDefault="00000000" w:rsidRPr="00000000" w14:paraId="00000045">
            <w:pPr>
              <w:rPr/>
            </w:pPr>
            <w:r w:rsidDel="00000000" w:rsidR="00000000" w:rsidRPr="00000000">
              <w:rPr>
                <w:rtl w:val="0"/>
              </w:rPr>
              <w:t xml:space="preserve">0.8652</w:t>
            </w:r>
          </w:p>
        </w:tc>
      </w:tr>
      <w:tr>
        <w:trPr>
          <w:cantSplit w:val="0"/>
          <w:tblHeader w:val="0"/>
        </w:trPr>
        <w:tc>
          <w:tcPr/>
          <w:p w:rsidR="00000000" w:rsidDel="00000000" w:rsidP="00000000" w:rsidRDefault="00000000" w:rsidRPr="00000000" w14:paraId="00000046">
            <w:pPr>
              <w:rPr/>
            </w:pPr>
            <w:r w:rsidDel="00000000" w:rsidR="00000000" w:rsidRPr="00000000">
              <w:rPr>
                <w:rtl w:val="0"/>
              </w:rPr>
              <w:t xml:space="preserve">Deep Ensemble</w:t>
            </w:r>
          </w:p>
        </w:tc>
        <w:tc>
          <w:tcPr/>
          <w:p w:rsidR="00000000" w:rsidDel="00000000" w:rsidP="00000000" w:rsidRDefault="00000000" w:rsidRPr="00000000" w14:paraId="00000047">
            <w:pPr>
              <w:rPr/>
            </w:pPr>
            <w:r w:rsidDel="00000000" w:rsidR="00000000" w:rsidRPr="00000000">
              <w:rPr>
                <w:rtl w:val="0"/>
              </w:rPr>
              <w:t xml:space="preserve">0.9753</w:t>
            </w:r>
          </w:p>
        </w:tc>
        <w:tc>
          <w:tcPr/>
          <w:p w:rsidR="00000000" w:rsidDel="00000000" w:rsidP="00000000" w:rsidRDefault="00000000" w:rsidRPr="00000000" w14:paraId="00000048">
            <w:pPr>
              <w:rPr/>
            </w:pPr>
            <w:r w:rsidDel="00000000" w:rsidR="00000000" w:rsidRPr="00000000">
              <w:rPr>
                <w:rtl w:val="0"/>
              </w:rPr>
              <w:t xml:space="preserve">0.8373</w:t>
            </w:r>
          </w:p>
        </w:tc>
        <w:tc>
          <w:tcPr/>
          <w:p w:rsidR="00000000" w:rsidDel="00000000" w:rsidP="00000000" w:rsidRDefault="00000000" w:rsidRPr="00000000" w14:paraId="00000049">
            <w:pPr>
              <w:rPr/>
            </w:pPr>
            <w:r w:rsidDel="00000000" w:rsidR="00000000" w:rsidRPr="00000000">
              <w:rPr>
                <w:rtl w:val="0"/>
              </w:rPr>
              <w:t xml:space="preserve">0.8529</w:t>
            </w:r>
          </w:p>
        </w:tc>
      </w:tr>
      <w:tr>
        <w:trPr>
          <w:cantSplit w:val="0"/>
          <w:tblHeader w:val="0"/>
        </w:trPr>
        <w:tc>
          <w:tcPr/>
          <w:p w:rsidR="00000000" w:rsidDel="00000000" w:rsidP="00000000" w:rsidRDefault="00000000" w:rsidRPr="00000000" w14:paraId="0000004A">
            <w:pPr>
              <w:rPr/>
            </w:pPr>
            <w:r w:rsidDel="00000000" w:rsidR="00000000" w:rsidRPr="00000000">
              <w:rPr>
                <w:b w:val="1"/>
                <w:bCs w:val="1"/>
                <w:rtl w:val="0"/>
              </w:rPr>
              <w:t xml:space="preserve">IRL (Ours)</w:t>
            </w:r>
            <w:r w:rsidDel="00000000" w:rsidR="00000000" w:rsidRPr="00000000">
              <w:rPr>
                <w:rtl w:val="0"/>
              </w:rPr>
            </w:r>
          </w:p>
        </w:tc>
        <w:tc>
          <w:tcPr/>
          <w:p w:rsidR="00000000" w:rsidDel="00000000" w:rsidP="00000000" w:rsidRDefault="00000000" w:rsidRPr="00000000" w14:paraId="0000004B">
            <w:pPr>
              <w:rPr/>
            </w:pPr>
            <w:r w:rsidDel="00000000" w:rsidR="00000000" w:rsidRPr="00000000">
              <w:rPr>
                <w:b w:val="1"/>
                <w:bCs w:val="1"/>
                <w:rtl w:val="0"/>
              </w:rPr>
              <w:t xml:space="preserve">0.9408</w:t>
            </w:r>
            <w:r w:rsidDel="00000000" w:rsidR="00000000" w:rsidRPr="00000000">
              <w:rPr>
                <w:rtl w:val="0"/>
              </w:rPr>
            </w:r>
          </w:p>
        </w:tc>
        <w:tc>
          <w:tcPr/>
          <w:p w:rsidR="00000000" w:rsidDel="00000000" w:rsidP="00000000" w:rsidRDefault="00000000" w:rsidRPr="00000000" w14:paraId="0000004C">
            <w:pPr>
              <w:rPr/>
            </w:pPr>
            <w:r w:rsidDel="00000000" w:rsidR="00000000" w:rsidRPr="00000000">
              <w:rPr>
                <w:b w:val="1"/>
                <w:bCs w:val="1"/>
                <w:rtl w:val="0"/>
              </w:rPr>
              <w:t xml:space="preserve">0.7525</w:t>
            </w:r>
            <w:r w:rsidDel="00000000" w:rsidR="00000000" w:rsidRPr="00000000">
              <w:rPr>
                <w:rtl w:val="0"/>
              </w:rPr>
            </w:r>
          </w:p>
        </w:tc>
        <w:tc>
          <w:tcPr/>
          <w:p w:rsidR="00000000" w:rsidDel="00000000" w:rsidP="00000000" w:rsidRDefault="00000000" w:rsidRPr="00000000" w14:paraId="0000004D">
            <w:pPr>
              <w:rPr/>
            </w:pPr>
            <w:r w:rsidDel="00000000" w:rsidR="00000000" w:rsidRPr="00000000">
              <w:rPr>
                <w:b w:val="1"/>
                <w:bCs w:val="1"/>
                <w:rtl w:val="0"/>
              </w:rPr>
              <w:t xml:space="preserve">0.6738</w:t>
            </w:r>
            <w:r w:rsidDel="00000000" w:rsidR="00000000" w:rsidRPr="00000000">
              <w:rPr>
                <w:rtl w:val="0"/>
              </w:rPr>
            </w:r>
          </w:p>
        </w:tc>
      </w:tr>
    </w:tbl>
    <w:p w:rsidR="00000000" w:rsidDel="00000000" w:rsidP="00000000" w:rsidRDefault="00000000" w:rsidRPr="00000000" w14:paraId="0000004E">
      <w:pPr>
        <w:jc w:val="center"/>
        <w:rPr/>
      </w:pPr>
      <w:r w:rsidDel="00000000" w:rsidR="00000000" w:rsidRPr="00000000">
        <w:rPr>
          <w:i w:val="1"/>
          <w:iCs w:val="1"/>
          <w:sz w:val="20"/>
          <w:szCs w:val="20"/>
          <w:rtl w:val="0"/>
        </w:rPr>
        <w:t xml:space="preserve">Table 1: Classification Performance on Credit Card Fraud Detection Test Set</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The discriminative performance (AUC-ROC 94.08%) demonstrates that IRL's hypothesis-based architecture can effectively separate fraudulent from legitimate transactions. The gap between AUC-ROC and F1 score reflects a design choice: IRL prioritizes uncertainty quantification over aggressive positive classification. The entropy-gating mechanism (76.87% acceptance rate) actively rejects 23.13% of evidence updates that would increase confusion, leading to more conservative predictions that maintain interpretability at the cost of some recall.</w:t>
      </w:r>
    </w:p>
    <w:p w:rsidR="00000000" w:rsidDel="00000000" w:rsidP="00000000" w:rsidRDefault="00000000" w:rsidRPr="00000000" w14:paraId="00000050">
      <w:pPr>
        <w:rPr/>
      </w:pPr>
      <w:r w:rsidDel="00000000" w:rsidR="00000000" w:rsidRPr="00000000">
        <w:rPr>
          <w:rtl w:val="0"/>
        </w:rPr>
        <w:t xml:space="preserve">Parameter efficiency is a key advantage: IRL uses ~15K learnable parameters versus 100K+ for the MLP baseline and 132K for MC Dropout. This 7-10× reduction stems from the frozen codebook (640 frozen parameters for 5×128), compact encoders, and hard top-k selection.</w:t>
      </w:r>
    </w:p>
    <w:p w:rsidR="00000000" w:rsidDel="00000000" w:rsidP="00000000" w:rsidRDefault="00000000" w:rsidRPr="00000000" w14:paraId="00000051">
      <w:pPr>
        <w:rPr/>
      </w:pPr>
      <w:r w:rsidDel="00000000" w:rsidR="00000000" w:rsidRPr="00000000">
        <w:rPr>
          <w:rtl w:val="0"/>
        </w:rPr>
        <w:t xml:space="preserve">Notably, IRL performs within 3.5% AUC-ROC of the best baseline (Deep Ensemble at 97.53%) while using a fraction of the parameters and providing explicit confidence scores. This suggests that for applications where interpretability, parameter efficiency, and uncertainty awareness are valued alongside raw accuracy, IRL offers a compelling trade-off. The absolute performance gap likely reflects the Credit Card dataset's characteristics—PCA-transformed features and severe class imbalance may favor ensemble methods that can fit complex decision boundaries through majority voting, whereas IRL's constrained architecture enforces simpler, more interpretable decision paths.</w:t>
      </w:r>
    </w:p>
    <w:p w:rsidR="00000000" w:rsidDel="00000000" w:rsidP="00000000" w:rsidRDefault="00000000" w:rsidRPr="00000000" w14:paraId="00000052">
      <w:pPr>
        <w:pStyle w:val="Heading2"/>
        <w:rPr/>
      </w:pPr>
      <w:r w:rsidDel="00000000" w:rsidR="00000000" w:rsidRPr="00000000">
        <w:rPr>
          <w:rtl w:val="0"/>
        </w:rPr>
        <w:t xml:space="preserve">4.3 Ablation Studies</w:t>
      </w:r>
    </w:p>
    <w:p w:rsidR="00000000" w:rsidDel="00000000" w:rsidP="00000000" w:rsidRDefault="00000000" w:rsidRPr="00000000" w14:paraId="00000053">
      <w:pPr>
        <w:rPr/>
      </w:pPr>
      <w:r w:rsidDel="00000000" w:rsidR="00000000" w:rsidRPr="00000000">
        <w:rPr>
          <w:rtl w:val="0"/>
        </w:rPr>
        <w:t xml:space="preserve">To understand the contribution of architectural components, we conducted targeted ablations on validation data. Each ablation modifies one aspect while keeping other settings fixed. Results are shown in Table 2.</w:t>
      </w:r>
    </w:p>
    <w:tbl>
      <w:tblPr>
        <w:tblStyle w:val="Table2"/>
        <w:tblW w:w="8640.0" w:type="dxa"/>
        <w:jc w:val="left"/>
        <w:tblInd w:w="-108.0" w:type="dxa"/>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4A0"/>
      </w:tblPr>
      <w:tblGrid>
        <w:gridCol w:w="2160"/>
        <w:gridCol w:w="2160"/>
        <w:gridCol w:w="2160"/>
        <w:gridCol w:w="2160"/>
        <w:tblGridChange w:id="0">
          <w:tblGrid>
            <w:gridCol w:w="2160"/>
            <w:gridCol w:w="2160"/>
            <w:gridCol w:w="2160"/>
            <w:gridCol w:w="2160"/>
          </w:tblGrid>
        </w:tblGridChange>
      </w:tblGrid>
      <w:tr>
        <w:trPr>
          <w:cantSplit w:val="0"/>
          <w:tblHeader w:val="0"/>
        </w:trPr>
        <w:tc>
          <w:tcPr/>
          <w:p w:rsidR="00000000" w:rsidDel="00000000" w:rsidP="00000000" w:rsidRDefault="00000000" w:rsidRPr="00000000" w14:paraId="00000054">
            <w:pPr>
              <w:rPr/>
            </w:pPr>
            <w:r w:rsidDel="00000000" w:rsidR="00000000" w:rsidRPr="00000000">
              <w:rPr>
                <w:b w:val="1"/>
                <w:bCs w:val="1"/>
                <w:rtl w:val="0"/>
              </w:rPr>
              <w:t xml:space="preserve">Configuration</w:t>
            </w:r>
            <w:r w:rsidDel="00000000" w:rsidR="00000000" w:rsidRPr="00000000">
              <w:rPr>
                <w:rtl w:val="0"/>
              </w:rPr>
            </w:r>
          </w:p>
        </w:tc>
        <w:tc>
          <w:tcPr/>
          <w:p w:rsidR="00000000" w:rsidDel="00000000" w:rsidP="00000000" w:rsidRDefault="00000000" w:rsidRPr="00000000" w14:paraId="00000055">
            <w:pPr>
              <w:rPr/>
            </w:pPr>
            <w:r w:rsidDel="00000000" w:rsidR="00000000" w:rsidRPr="00000000">
              <w:rPr>
                <w:b w:val="1"/>
                <w:bCs w:val="1"/>
                <w:rtl w:val="0"/>
              </w:rPr>
              <w:t xml:space="preserve">AUC-ROC</w:t>
            </w:r>
            <w:r w:rsidDel="00000000" w:rsidR="00000000" w:rsidRPr="00000000">
              <w:rPr>
                <w:rtl w:val="0"/>
              </w:rPr>
            </w:r>
          </w:p>
        </w:tc>
        <w:tc>
          <w:tcPr/>
          <w:p w:rsidR="00000000" w:rsidDel="00000000" w:rsidP="00000000" w:rsidRDefault="00000000" w:rsidRPr="00000000" w14:paraId="00000056">
            <w:pPr>
              <w:rPr/>
            </w:pPr>
            <w:r w:rsidDel="00000000" w:rsidR="00000000" w:rsidRPr="00000000">
              <w:rPr>
                <w:b w:val="1"/>
                <w:bCs w:val="1"/>
                <w:rtl w:val="0"/>
              </w:rPr>
              <w:t xml:space="preserve">AUC-PR</w:t>
            </w:r>
            <w:r w:rsidDel="00000000" w:rsidR="00000000" w:rsidRPr="00000000">
              <w:rPr>
                <w:rtl w:val="0"/>
              </w:rPr>
            </w:r>
          </w:p>
        </w:tc>
        <w:tc>
          <w:tcPr/>
          <w:p w:rsidR="00000000" w:rsidDel="00000000" w:rsidP="00000000" w:rsidRDefault="00000000" w:rsidRPr="00000000" w14:paraId="00000057">
            <w:pPr>
              <w:rPr/>
            </w:pPr>
            <w:r w:rsidDel="00000000" w:rsidR="00000000" w:rsidRPr="00000000">
              <w:rPr>
                <w:b w:val="1"/>
                <w:bCs w:val="1"/>
                <w:rtl w:val="0"/>
              </w:rPr>
              <w:t xml:space="preserve">F1</w:t>
            </w:r>
            <w:r w:rsidDel="00000000" w:rsidR="00000000" w:rsidRPr="00000000">
              <w:rPr>
                <w:rtl w:val="0"/>
              </w:rPr>
            </w:r>
          </w:p>
        </w:tc>
      </w:tr>
      <w:tr>
        <w:trPr>
          <w:cantSplit w:val="0"/>
          <w:tblHeader w:val="0"/>
        </w:trPr>
        <w:tc>
          <w:tcPr/>
          <w:p w:rsidR="00000000" w:rsidDel="00000000" w:rsidP="00000000" w:rsidRDefault="00000000" w:rsidRPr="00000000" w14:paraId="00000058">
            <w:pPr>
              <w:rPr/>
            </w:pPr>
            <w:r w:rsidDel="00000000" w:rsidR="00000000" w:rsidRPr="00000000">
              <w:rPr>
                <w:rtl w:val="0"/>
              </w:rPr>
              <w:t xml:space="preserve">IRL (Full Model)</w:t>
            </w:r>
          </w:p>
        </w:tc>
        <w:tc>
          <w:tcPr/>
          <w:p w:rsidR="00000000" w:rsidDel="00000000" w:rsidP="00000000" w:rsidRDefault="00000000" w:rsidRPr="00000000" w14:paraId="00000059">
            <w:pPr>
              <w:rPr/>
            </w:pPr>
            <w:r w:rsidDel="00000000" w:rsidR="00000000" w:rsidRPr="00000000">
              <w:rPr>
                <w:rtl w:val="0"/>
              </w:rPr>
              <w:t xml:space="preserve">0.9408</w:t>
            </w:r>
          </w:p>
        </w:tc>
        <w:tc>
          <w:tcPr/>
          <w:p w:rsidR="00000000" w:rsidDel="00000000" w:rsidP="00000000" w:rsidRDefault="00000000" w:rsidRPr="00000000" w14:paraId="0000005A">
            <w:pPr>
              <w:rPr/>
            </w:pPr>
            <w:r w:rsidDel="00000000" w:rsidR="00000000" w:rsidRPr="00000000">
              <w:rPr>
                <w:rtl w:val="0"/>
              </w:rPr>
              <w:t xml:space="preserve">0.7525</w:t>
            </w:r>
          </w:p>
        </w:tc>
        <w:tc>
          <w:tcPr/>
          <w:p w:rsidR="00000000" w:rsidDel="00000000" w:rsidP="00000000" w:rsidRDefault="00000000" w:rsidRPr="00000000" w14:paraId="0000005B">
            <w:pPr>
              <w:rPr/>
            </w:pPr>
            <w:r w:rsidDel="00000000" w:rsidR="00000000" w:rsidRPr="00000000">
              <w:rPr>
                <w:rtl w:val="0"/>
              </w:rPr>
              <w:t xml:space="preserve">0.6738</w:t>
            </w:r>
          </w:p>
        </w:tc>
      </w:tr>
      <w:tr>
        <w:trPr>
          <w:cantSplit w:val="0"/>
          <w:tblHeader w:val="0"/>
        </w:trPr>
        <w:tc>
          <w:tcPr/>
          <w:p w:rsidR="00000000" w:rsidDel="00000000" w:rsidP="00000000" w:rsidRDefault="00000000" w:rsidRPr="00000000" w14:paraId="0000005C">
            <w:pPr>
              <w:rPr/>
            </w:pPr>
            <w:r w:rsidDel="00000000" w:rsidR="00000000" w:rsidRPr="00000000">
              <w:rPr>
                <w:rtl w:val="0"/>
              </w:rPr>
              <w:t xml:space="preserve">Without entropy gating (ε=∞)</w:t>
            </w:r>
          </w:p>
        </w:tc>
        <w:tc>
          <w:tcPr/>
          <w:p w:rsidR="00000000" w:rsidDel="00000000" w:rsidP="00000000" w:rsidRDefault="00000000" w:rsidRPr="00000000" w14:paraId="0000005D">
            <w:pPr>
              <w:rPr/>
            </w:pPr>
            <w:r w:rsidDel="00000000" w:rsidR="00000000" w:rsidRPr="00000000">
              <w:rPr>
                <w:rtl w:val="0"/>
              </w:rPr>
              <w:t xml:space="preserve">0.9385</w:t>
            </w:r>
          </w:p>
        </w:tc>
        <w:tc>
          <w:tcPr/>
          <w:p w:rsidR="00000000" w:rsidDel="00000000" w:rsidP="00000000" w:rsidRDefault="00000000" w:rsidRPr="00000000" w14:paraId="0000005E">
            <w:pPr>
              <w:rPr/>
            </w:pPr>
            <w:r w:rsidDel="00000000" w:rsidR="00000000" w:rsidRPr="00000000">
              <w:rPr>
                <w:rtl w:val="0"/>
              </w:rPr>
              <w:t xml:space="preserve">0.7412</w:t>
            </w:r>
          </w:p>
        </w:tc>
        <w:tc>
          <w:tcPr/>
          <w:p w:rsidR="00000000" w:rsidDel="00000000" w:rsidP="00000000" w:rsidRDefault="00000000" w:rsidRPr="00000000" w14:paraId="0000005F">
            <w:pPr>
              <w:rPr/>
            </w:pPr>
            <w:r w:rsidDel="00000000" w:rsidR="00000000" w:rsidRPr="00000000">
              <w:rPr>
                <w:rtl w:val="0"/>
              </w:rPr>
              <w:t xml:space="preserve">0.6621</w:t>
            </w:r>
          </w:p>
        </w:tc>
      </w:tr>
      <w:tr>
        <w:trPr>
          <w:cantSplit w:val="0"/>
          <w:tblHeader w:val="0"/>
        </w:trPr>
        <w:tc>
          <w:tcPr/>
          <w:p w:rsidR="00000000" w:rsidDel="00000000" w:rsidP="00000000" w:rsidRDefault="00000000" w:rsidRPr="00000000" w14:paraId="00000060">
            <w:pPr>
              <w:rPr/>
            </w:pPr>
            <w:r w:rsidDel="00000000" w:rsidR="00000000" w:rsidRPr="00000000">
              <w:rPr>
                <w:rtl w:val="0"/>
              </w:rPr>
              <w:t xml:space="preserve">Without evidence split</w:t>
            </w:r>
          </w:p>
        </w:tc>
        <w:tc>
          <w:tcPr/>
          <w:p w:rsidR="00000000" w:rsidDel="00000000" w:rsidP="00000000" w:rsidRDefault="00000000" w:rsidRPr="00000000" w14:paraId="00000061">
            <w:pPr>
              <w:rPr/>
            </w:pPr>
            <w:r w:rsidDel="00000000" w:rsidR="00000000" w:rsidRPr="00000000">
              <w:rPr>
                <w:rtl w:val="0"/>
              </w:rPr>
              <w:t xml:space="preserve">0.9292</w:t>
            </w:r>
          </w:p>
        </w:tc>
        <w:tc>
          <w:tcPr/>
          <w:p w:rsidR="00000000" w:rsidDel="00000000" w:rsidP="00000000" w:rsidRDefault="00000000" w:rsidRPr="00000000" w14:paraId="00000062">
            <w:pPr>
              <w:rPr/>
            </w:pPr>
            <w:r w:rsidDel="00000000" w:rsidR="00000000" w:rsidRPr="00000000">
              <w:rPr>
                <w:rtl w:val="0"/>
              </w:rPr>
              <w:t xml:space="preserve">0.7238</w:t>
            </w:r>
          </w:p>
        </w:tc>
        <w:tc>
          <w:tcPr/>
          <w:p w:rsidR="00000000" w:rsidDel="00000000" w:rsidP="00000000" w:rsidRDefault="00000000" w:rsidRPr="00000000" w14:paraId="00000063">
            <w:pPr>
              <w:rPr/>
            </w:pPr>
            <w:r w:rsidDel="00000000" w:rsidR="00000000" w:rsidRPr="00000000">
              <w:rPr>
                <w:rtl w:val="0"/>
              </w:rPr>
              <w:t xml:space="preserve">0.6534</w:t>
            </w:r>
          </w:p>
        </w:tc>
      </w:tr>
      <w:tr>
        <w:trPr>
          <w:cantSplit w:val="0"/>
          <w:tblHeader w:val="0"/>
        </w:trPr>
        <w:tc>
          <w:tcPr/>
          <w:p w:rsidR="00000000" w:rsidDel="00000000" w:rsidP="00000000" w:rsidRDefault="00000000" w:rsidRPr="00000000" w14:paraId="00000064">
            <w:pPr>
              <w:rPr/>
            </w:pPr>
            <w:r w:rsidDel="00000000" w:rsidR="00000000" w:rsidRPr="00000000">
              <w:rPr>
                <w:rtl w:val="0"/>
              </w:rPr>
              <w:t xml:space="preserve">Fully learned codebook</w:t>
            </w:r>
          </w:p>
        </w:tc>
        <w:tc>
          <w:tcPr/>
          <w:p w:rsidR="00000000" w:rsidDel="00000000" w:rsidP="00000000" w:rsidRDefault="00000000" w:rsidRPr="00000000" w14:paraId="00000065">
            <w:pPr>
              <w:rPr/>
            </w:pPr>
            <w:r w:rsidDel="00000000" w:rsidR="00000000" w:rsidRPr="00000000">
              <w:rPr>
                <w:rtl w:val="0"/>
              </w:rPr>
              <w:t xml:space="preserve">0.9156</w:t>
            </w:r>
          </w:p>
        </w:tc>
        <w:tc>
          <w:tcPr/>
          <w:p w:rsidR="00000000" w:rsidDel="00000000" w:rsidP="00000000" w:rsidRDefault="00000000" w:rsidRPr="00000000" w14:paraId="00000066">
            <w:pPr>
              <w:rPr/>
            </w:pPr>
            <w:r w:rsidDel="00000000" w:rsidR="00000000" w:rsidRPr="00000000">
              <w:rPr>
                <w:rtl w:val="0"/>
              </w:rPr>
              <w:t xml:space="preserve">0.6982</w:t>
            </w:r>
          </w:p>
        </w:tc>
        <w:tc>
          <w:tcPr/>
          <w:p w:rsidR="00000000" w:rsidDel="00000000" w:rsidP="00000000" w:rsidRDefault="00000000" w:rsidRPr="00000000" w14:paraId="00000067">
            <w:pPr>
              <w:rPr/>
            </w:pPr>
            <w:r w:rsidDel="00000000" w:rsidR="00000000" w:rsidRPr="00000000">
              <w:rPr>
                <w:rtl w:val="0"/>
              </w:rPr>
              <w:t xml:space="preserve">0.6187</w:t>
            </w:r>
          </w:p>
        </w:tc>
      </w:tr>
      <w:tr>
        <w:trPr>
          <w:cantSplit w:val="0"/>
          <w:tblHeader w:val="0"/>
        </w:trPr>
        <w:tc>
          <w:tcPr/>
          <w:p w:rsidR="00000000" w:rsidDel="00000000" w:rsidP="00000000" w:rsidRDefault="00000000" w:rsidRPr="00000000" w14:paraId="00000068">
            <w:pPr>
              <w:rPr/>
            </w:pPr>
            <w:r w:rsidDel="00000000" w:rsidR="00000000" w:rsidRPr="00000000">
              <w:rPr>
                <w:rtl w:val="0"/>
              </w:rPr>
              <w:t xml:space="preserve">Single hypothesis (k=1)</w:t>
            </w:r>
          </w:p>
        </w:tc>
        <w:tc>
          <w:tcPr/>
          <w:p w:rsidR="00000000" w:rsidDel="00000000" w:rsidP="00000000" w:rsidRDefault="00000000" w:rsidRPr="00000000" w14:paraId="00000069">
            <w:pPr>
              <w:rPr/>
            </w:pPr>
            <w:r w:rsidDel="00000000" w:rsidR="00000000" w:rsidRPr="00000000">
              <w:rPr>
                <w:rtl w:val="0"/>
              </w:rPr>
              <w:t xml:space="preserve">0.8847</w:t>
            </w:r>
          </w:p>
        </w:tc>
        <w:tc>
          <w:tcPr/>
          <w:p w:rsidR="00000000" w:rsidDel="00000000" w:rsidP="00000000" w:rsidRDefault="00000000" w:rsidRPr="00000000" w14:paraId="0000006A">
            <w:pPr>
              <w:rPr/>
            </w:pPr>
            <w:r w:rsidDel="00000000" w:rsidR="00000000" w:rsidRPr="00000000">
              <w:rPr>
                <w:rtl w:val="0"/>
              </w:rPr>
              <w:t xml:space="preserve">0.6554</w:t>
            </w:r>
          </w:p>
        </w:tc>
        <w:tc>
          <w:tcPr/>
          <w:p w:rsidR="00000000" w:rsidDel="00000000" w:rsidP="00000000" w:rsidRDefault="00000000" w:rsidRPr="00000000" w14:paraId="0000006B">
            <w:pPr>
              <w:rPr/>
            </w:pPr>
            <w:r w:rsidDel="00000000" w:rsidR="00000000" w:rsidRPr="00000000">
              <w:rPr>
                <w:rtl w:val="0"/>
              </w:rPr>
              <w:t xml:space="preserve">0.5923</w:t>
            </w:r>
          </w:p>
        </w:tc>
      </w:tr>
    </w:tbl>
    <w:p w:rsidR="00000000" w:rsidDel="00000000" w:rsidP="00000000" w:rsidRDefault="00000000" w:rsidRPr="00000000" w14:paraId="0000006C">
      <w:pPr>
        <w:jc w:val="center"/>
        <w:rPr/>
      </w:pPr>
      <w:r w:rsidDel="00000000" w:rsidR="00000000" w:rsidRPr="00000000">
        <w:rPr>
          <w:i w:val="1"/>
          <w:iCs w:val="1"/>
          <w:sz w:val="20"/>
          <w:szCs w:val="20"/>
          <w:rtl w:val="0"/>
        </w:rPr>
        <w:t xml:space="preserve">Table 2: Ablation Study Results</w:t>
      </w:r>
      <w:r w:rsidDel="00000000" w:rsidR="00000000" w:rsidRPr="00000000">
        <w:rPr>
          <w:rtl w:val="0"/>
        </w:rPr>
      </w:r>
    </w:p>
    <w:p w:rsidR="00000000" w:rsidDel="00000000" w:rsidP="00000000" w:rsidRDefault="00000000" w:rsidRPr="00000000" w14:paraId="0000006D">
      <w:pPr>
        <w:rPr/>
      </w:pPr>
      <w:r w:rsidDel="00000000" w:rsidR="00000000" w:rsidRPr="00000000">
        <w:rPr>
          <w:b w:val="1"/>
          <w:bCs w:val="1"/>
          <w:rtl w:val="0"/>
        </w:rPr>
        <w:t xml:space="preserve">Entropy gating contribution. </w:t>
      </w:r>
      <w:r w:rsidDel="00000000" w:rsidR="00000000" w:rsidRPr="00000000">
        <w:rPr>
          <w:rtl w:val="0"/>
        </w:rPr>
        <w:t xml:space="preserve">Removing entropy gating reduces performance by 0.23% AUC-ROC and 1.13% AUC-PR. Analysis reveals that without gating, the model produces more overconfident predictions on ambiguous cases. The entropy gate serves as a quality filter, preventing spurious confidence and maintaining calibration.</w:t>
      </w:r>
    </w:p>
    <w:p w:rsidR="00000000" w:rsidDel="00000000" w:rsidP="00000000" w:rsidRDefault="00000000" w:rsidRPr="00000000" w14:paraId="0000006E">
      <w:pPr>
        <w:rPr/>
      </w:pPr>
      <w:r w:rsidDel="00000000" w:rsidR="00000000" w:rsidRPr="00000000">
        <w:rPr>
          <w:b w:val="1"/>
          <w:bCs w:val="1"/>
          <w:rtl w:val="0"/>
        </w:rPr>
        <w:t xml:space="preserve">Evidence refinement value. </w:t>
      </w:r>
      <w:r w:rsidDel="00000000" w:rsidR="00000000" w:rsidRPr="00000000">
        <w:rPr>
          <w:rtl w:val="0"/>
        </w:rPr>
        <w:t xml:space="preserve">Removing the evidence split and directly encoding all 30 features reduces AUC-ROC by 1.16%. This confirms that recursive evidence integration provides genuine benefit over single-pass encoding.</w:t>
      </w:r>
    </w:p>
    <w:p w:rsidR="00000000" w:rsidDel="00000000" w:rsidP="00000000" w:rsidRDefault="00000000" w:rsidRPr="00000000" w14:paraId="0000006F">
      <w:pPr>
        <w:rPr/>
      </w:pPr>
      <w:r w:rsidDel="00000000" w:rsidR="00000000" w:rsidRPr="00000000">
        <w:rPr>
          <w:b w:val="1"/>
          <w:bCs w:val="1"/>
          <w:rtl w:val="0"/>
        </w:rPr>
        <w:t xml:space="preserve">Frozen codebook necessity. </w:t>
      </w:r>
      <w:r w:rsidDel="00000000" w:rsidR="00000000" w:rsidRPr="00000000">
        <w:rPr>
          <w:rtl w:val="0"/>
        </w:rPr>
        <w:t xml:space="preserve">Allowing the codebook to update during training causes significant degradation: 2.52% AUC-ROC and 5.43% AUC-PR drop. Inspection reveals codebook collapse—hypotheses converge toward similar directions, losing orthogonality. Freezing prevents this failure mode.</w:t>
      </w:r>
    </w:p>
    <w:p w:rsidR="00000000" w:rsidDel="00000000" w:rsidP="00000000" w:rsidRDefault="00000000" w:rsidRPr="00000000" w14:paraId="00000070">
      <w:pPr>
        <w:rPr/>
      </w:pPr>
      <w:r w:rsidDel="00000000" w:rsidR="00000000" w:rsidRPr="00000000">
        <w:rPr>
          <w:b w:val="1"/>
          <w:bCs w:val="1"/>
          <w:rtl w:val="0"/>
        </w:rPr>
        <w:t xml:space="preserve">Top-k selection impact. </w:t>
      </w:r>
      <w:r w:rsidDel="00000000" w:rsidR="00000000" w:rsidRPr="00000000">
        <w:rPr>
          <w:rtl w:val="0"/>
        </w:rPr>
        <w:t xml:space="preserve">Restricting to k=1 causes severe degradation: 5.61% AUC-ROC drop. With only one hypothesis active, the model cannot maintain uncertainty or represent multi-faceted patterns. The k=3 setting balances efficiency with representational capacity.</w:t>
      </w:r>
    </w:p>
    <w:p w:rsidR="00000000" w:rsidDel="00000000" w:rsidP="00000000" w:rsidRDefault="00000000" w:rsidRPr="00000000" w14:paraId="00000071">
      <w:pPr>
        <w:pStyle w:val="Heading2"/>
        <w:rPr/>
      </w:pPr>
      <w:r w:rsidDel="00000000" w:rsidR="00000000" w:rsidRPr="00000000">
        <w:rPr>
          <w:rtl w:val="0"/>
        </w:rPr>
        <w:t xml:space="preserve">4.4 Entropy Dynamics Analysis</w:t>
      </w:r>
    </w:p>
    <w:p w:rsidR="00000000" w:rsidDel="00000000" w:rsidP="00000000" w:rsidRDefault="00000000" w:rsidRPr="00000000" w14:paraId="00000072">
      <w:pPr>
        <w:rPr/>
      </w:pPr>
      <w:r w:rsidDel="00000000" w:rsidR="00000000" w:rsidRPr="00000000">
        <w:rPr>
          <w:rtl w:val="0"/>
        </w:rPr>
        <w:t xml:space="preserve">Analysis of initial versus final entropy reveals that 76.87% of samples show entropy reduction, while 23.13% trigger entropy-based rejection. The distribution of entropy changes peaks at -0.01 to -0.02, indicating typical uncertainty reduction.</w:t>
      </w:r>
    </w:p>
    <w:p w:rsidR="00000000" w:rsidDel="00000000" w:rsidP="00000000" w:rsidRDefault="00000000" w:rsidRPr="00000000" w14:paraId="00000073">
      <w:pPr>
        <w:rPr/>
      </w:pPr>
      <w:r w:rsidDel="00000000" w:rsidR="00000000" w:rsidRPr="00000000">
        <w:rPr>
          <w:rtl w:val="0"/>
        </w:rPr>
        <w:t xml:space="preserve">For rejected updates, manual inspection reveals three patterns: (1) Mixed signals—transactions exhibiting both normal and anomalous patterns, (2) Borderline cases near the decision boundary, (3) Feature noise from PCA transformation. These correctly trigger uncertainty rather than forcing convergence, demonstrating that entropy gating achieves its design goal of preventing overconfident errors.</w:t>
      </w:r>
    </w:p>
    <w:p w:rsidR="00000000" w:rsidDel="00000000" w:rsidP="00000000" w:rsidRDefault="00000000" w:rsidRPr="00000000" w14:paraId="00000074">
      <w:pPr>
        <w:rPr/>
      </w:pPr>
      <w:r w:rsidDel="00000000" w:rsidR="00000000" w:rsidRPr="00000000">
        <w:br w:type="page"/>
      </w:r>
      <w:r w:rsidDel="00000000" w:rsidR="00000000" w:rsidRPr="00000000">
        <w:rPr>
          <w:rtl w:val="0"/>
        </w:rPr>
      </w:r>
    </w:p>
    <w:p w:rsidR="00000000" w:rsidDel="00000000" w:rsidP="00000000" w:rsidRDefault="00000000" w:rsidRPr="00000000" w14:paraId="00000075">
      <w:pPr>
        <w:pStyle w:val="Heading1"/>
        <w:rPr/>
      </w:pPr>
      <w:r w:rsidDel="00000000" w:rsidR="00000000" w:rsidRPr="00000000">
        <w:rPr>
          <w:rtl w:val="0"/>
        </w:rPr>
        <w:t xml:space="preserve">5. Discussion</w:t>
      </w:r>
    </w:p>
    <w:p w:rsidR="00000000" w:rsidDel="00000000" w:rsidP="00000000" w:rsidRDefault="00000000" w:rsidRPr="00000000" w14:paraId="00000076">
      <w:pPr>
        <w:pStyle w:val="Heading2"/>
        <w:rPr/>
      </w:pPr>
      <w:r w:rsidDel="00000000" w:rsidR="00000000" w:rsidRPr="00000000">
        <w:rPr>
          <w:rtl w:val="0"/>
        </w:rPr>
        <w:t xml:space="preserve">5.1 Performance Context and Trade-offs</w:t>
      </w:r>
    </w:p>
    <w:p w:rsidR="00000000" w:rsidDel="00000000" w:rsidP="00000000" w:rsidRDefault="00000000" w:rsidRPr="00000000" w14:paraId="00000077">
      <w:pPr>
        <w:rPr/>
      </w:pPr>
      <w:r w:rsidDel="00000000" w:rsidR="00000000" w:rsidRPr="00000000">
        <w:rPr>
          <w:rtl w:val="0"/>
        </w:rPr>
        <w:t xml:space="preserve">IRL's performance (AUC-ROC 94.08%) places it in a competitive tier with established methods, though below the best-performing baselines (Deep Ensemble 97.53%, MLP 97.44%). This gap reflects fundamental architectural trade-offs rather than optimization failure. IRL prioritizes interpretability, parameter efficiency, and explicit uncertainty quantification—design goals that constrain raw discriminative power.</w:t>
      </w:r>
    </w:p>
    <w:p w:rsidR="00000000" w:rsidDel="00000000" w:rsidP="00000000" w:rsidRDefault="00000000" w:rsidRPr="00000000" w14:paraId="00000078">
      <w:pPr>
        <w:rPr/>
      </w:pPr>
      <w:r w:rsidDel="00000000" w:rsidR="00000000" w:rsidRPr="00000000">
        <w:rPr>
          <w:rtl w:val="0"/>
        </w:rPr>
        <w:t xml:space="preserve">Dataset characteristics matter. The Credit Card dataset's PCA-transformed features are designed for privacy protection, obscuring original feature semantics. This transformation may favor methods that can fit complex feature interactions without requiring interpretable intermediate representations. Ensemble methods excel in this regime: by combining multiple diverse models, they capture intricate patterns that no single interpretable model would discover.</w:t>
      </w:r>
    </w:p>
    <w:p w:rsidR="00000000" w:rsidDel="00000000" w:rsidP="00000000" w:rsidRDefault="00000000" w:rsidRPr="00000000" w14:paraId="00000079">
      <w:pPr>
        <w:rPr/>
      </w:pPr>
      <w:r w:rsidDel="00000000" w:rsidR="00000000" w:rsidRPr="00000000">
        <w:rPr>
          <w:rtl w:val="0"/>
        </w:rPr>
        <w:t xml:space="preserve">The performance gap should be viewed in context of deployment requirements. For applications where a 3% AUC-ROC improvement justifies 7× more parameters and no interpretability, ensemble methods are appropriate. For applications where model decisions must be explainable, where deployment size matters, or where avoiding overconfident errors is critical, IRL's trade-off favors transparency over raw accuracy. Different datasets with clearer hypothesis structures could favor IRL's approach more strongly.</w:t>
      </w:r>
    </w:p>
    <w:p w:rsidR="00000000" w:rsidDel="00000000" w:rsidP="00000000" w:rsidRDefault="00000000" w:rsidRPr="00000000" w14:paraId="0000007A">
      <w:pPr>
        <w:pStyle w:val="Heading2"/>
        <w:rPr/>
      </w:pPr>
      <w:r w:rsidDel="00000000" w:rsidR="00000000" w:rsidRPr="00000000">
        <w:rPr>
          <w:rtl w:val="0"/>
        </w:rPr>
        <w:t xml:space="preserve">5.2 Why Frozen Codebooks Work</w:t>
      </w:r>
    </w:p>
    <w:p w:rsidR="00000000" w:rsidDel="00000000" w:rsidP="00000000" w:rsidRDefault="00000000" w:rsidRPr="00000000" w14:paraId="0000007B">
      <w:pPr>
        <w:rPr/>
      </w:pPr>
      <w:r w:rsidDel="00000000" w:rsidR="00000000" w:rsidRPr="00000000">
        <w:rPr>
          <w:rtl w:val="0"/>
        </w:rPr>
        <w:t xml:space="preserve">The success of frozen codebooks relies on high-dimensional geometry. In D=128 dimensions with n=5 hypotheses, random unit vectors are approximately orthogonal with expected dot product E[⟨cᵢ, cⱼ⟩] = 0 and standard deviation O(1/√D) ≈ 0.088. Empirically, we measure average pairwise dot product of 0.04 ± 0.09, confirming near-orthogonality.</w:t>
      </w:r>
    </w:p>
    <w:p w:rsidR="00000000" w:rsidDel="00000000" w:rsidP="00000000" w:rsidRDefault="00000000" w:rsidRPr="00000000" w14:paraId="0000007C">
      <w:pPr>
        <w:rPr/>
      </w:pPr>
      <w:r w:rsidDel="00000000" w:rsidR="00000000" w:rsidRPr="00000000">
        <w:rPr>
          <w:rtl w:val="0"/>
        </w:rPr>
        <w:t xml:space="preserve">Freezing prevents codebook collapse—a failure mode where learned vectors converge toward similar directions, losing discriminative power. Our ablation confirms this: allowing codebook updates degrades performance by 2.5% AUC-ROC as hypothesis directions lose orthogonality.</w:t>
      </w:r>
    </w:p>
    <w:p w:rsidR="00000000" w:rsidDel="00000000" w:rsidP="00000000" w:rsidRDefault="00000000" w:rsidRPr="00000000" w14:paraId="0000007D">
      <w:pPr>
        <w:pStyle w:val="Heading2"/>
        <w:rPr/>
      </w:pPr>
      <w:r w:rsidDel="00000000" w:rsidR="00000000" w:rsidRPr="00000000">
        <w:rPr>
          <w:rtl w:val="0"/>
        </w:rPr>
        <w:t xml:space="preserve">5.3 Entropy as a Safety Constraint</w:t>
      </w:r>
    </w:p>
    <w:p w:rsidR="00000000" w:rsidDel="00000000" w:rsidP="00000000" w:rsidRDefault="00000000" w:rsidRPr="00000000" w14:paraId="0000007E">
      <w:pPr>
        <w:rPr/>
      </w:pPr>
      <w:r w:rsidDel="00000000" w:rsidR="00000000" w:rsidRPr="00000000">
        <w:rPr>
          <w:rtl w:val="0"/>
        </w:rPr>
        <w:t xml:space="preserve">The entropy-gating mechanism serves dual purposes: preventing confident errors and providing an interpretable signal for deferral. By requiring H(P') ≤ H(P) + ε, we enforce that evidence either clarifies the situation or is ignored. The 23.13% rejection rate shows this is not vacuous—nearly a quarter of evidence samples genuinely increase confusion.</w:t>
      </w:r>
    </w:p>
    <w:p w:rsidR="00000000" w:rsidDel="00000000" w:rsidP="00000000" w:rsidRDefault="00000000" w:rsidRPr="00000000" w14:paraId="0000007F">
      <w:pPr>
        <w:rPr/>
      </w:pPr>
      <w:r w:rsidDel="00000000" w:rsidR="00000000" w:rsidRPr="00000000">
        <w:rPr>
          <w:rtl w:val="0"/>
        </w:rPr>
        <w:t xml:space="preserve">This distinguishes IRL from confidence thresholding, which addresses aleatoric uncertainty but not epistemic uncertainty. Entropy captures the distinction between confident predictions and ambiguous cases that thresholding alone cannot.</w:t>
      </w:r>
    </w:p>
    <w:p w:rsidR="00000000" w:rsidDel="00000000" w:rsidP="00000000" w:rsidRDefault="00000000" w:rsidRPr="00000000" w14:paraId="00000080">
      <w:pPr>
        <w:pStyle w:val="Heading2"/>
        <w:rPr/>
      </w:pPr>
      <w:r w:rsidDel="00000000" w:rsidR="00000000" w:rsidRPr="00000000">
        <w:rPr>
          <w:rtl w:val="0"/>
        </w:rPr>
        <w:t xml:space="preserve">5.4 Comparison to Large Models</w:t>
      </w:r>
    </w:p>
    <w:p w:rsidR="00000000" w:rsidDel="00000000" w:rsidP="00000000" w:rsidRDefault="00000000" w:rsidRPr="00000000" w14:paraId="00000081">
      <w:pPr>
        <w:rPr/>
      </w:pPr>
      <w:r w:rsidDel="00000000" w:rsidR="00000000" w:rsidRPr="00000000">
        <w:rPr>
          <w:rtl w:val="0"/>
        </w:rPr>
        <w:t xml:space="preserve">IRL achieves competitive performance with ~15,000 parameters, while neural baselines require 100,000+ parameters. This 7× reduction comes from frozen codebook, small embedding dimension, and hard top-k selection. The cost is domain specificity—IRL is designed for hypothesis-driven tasks, not open-ended reasoning.</w:t>
      </w:r>
    </w:p>
    <w:p w:rsidR="00000000" w:rsidDel="00000000" w:rsidP="00000000" w:rsidRDefault="00000000" w:rsidRPr="00000000" w14:paraId="00000082">
      <w:pPr>
        <w:rPr/>
      </w:pPr>
      <w:r w:rsidDel="00000000" w:rsidR="00000000" w:rsidRPr="00000000">
        <w:rPr>
          <w:rtl w:val="0"/>
        </w:rPr>
        <w:t xml:space="preserve">For deployment in production systems where hypothesis sets are well-defined and confident errors are costly (fraud detection, medical triage, compliance review), this trade-off is favorable. The parameter reduction translates to faster inference, smaller deployment footprint, and easier model inspection.</w:t>
      </w:r>
    </w:p>
    <w:p w:rsidR="00000000" w:rsidDel="00000000" w:rsidP="00000000" w:rsidRDefault="00000000" w:rsidRPr="00000000" w14:paraId="00000083">
      <w:pPr>
        <w:pStyle w:val="Heading2"/>
        <w:rPr/>
      </w:pPr>
      <w:r w:rsidDel="00000000" w:rsidR="00000000" w:rsidRPr="00000000">
        <w:rPr>
          <w:rtl w:val="0"/>
        </w:rPr>
        <w:t xml:space="preserve">5.5 Limitations and Threats to Validity</w:t>
      </w:r>
    </w:p>
    <w:p w:rsidR="00000000" w:rsidDel="00000000" w:rsidP="00000000" w:rsidRDefault="00000000" w:rsidRPr="00000000" w14:paraId="00000084">
      <w:pPr>
        <w:rPr/>
      </w:pPr>
      <w:r w:rsidDel="00000000" w:rsidR="00000000" w:rsidRPr="00000000">
        <w:rPr>
          <w:b w:val="1"/>
          <w:bCs w:val="1"/>
          <w:rtl w:val="0"/>
        </w:rPr>
        <w:t xml:space="preserve">Single domain evaluation. </w:t>
      </w:r>
      <w:r w:rsidDel="00000000" w:rsidR="00000000" w:rsidRPr="00000000">
        <w:rPr>
          <w:rtl w:val="0"/>
        </w:rPr>
        <w:t xml:space="preserve">We evaluate only on credit card fraud detection. Transfer to other domains remains untested. Domains with clearer hypothesis structures and more semantically meaningful features could favor IRL more strongly than the PCA-transformed Credit Card dataset.</w:t>
      </w:r>
    </w:p>
    <w:p w:rsidR="00000000" w:rsidDel="00000000" w:rsidP="00000000" w:rsidRDefault="00000000" w:rsidRPr="00000000" w14:paraId="00000085">
      <w:pPr>
        <w:rPr/>
      </w:pPr>
      <w:r w:rsidDel="00000000" w:rsidR="00000000" w:rsidRPr="00000000">
        <w:rPr>
          <w:b w:val="1"/>
          <w:bCs w:val="1"/>
          <w:rtl w:val="0"/>
        </w:rPr>
        <w:t xml:space="preserve">Fixed hypothesis set. </w:t>
      </w:r>
      <w:r w:rsidDel="00000000" w:rsidR="00000000" w:rsidRPr="00000000">
        <w:rPr>
          <w:rtl w:val="0"/>
        </w:rPr>
        <w:t xml:space="preserve">The codebook encodes predefined hypotheses. Novel fraud types not in the initial set will not be detected. This requires domain experts to anticipate hypothesis types during system design, limiting adaptability.</w:t>
      </w:r>
    </w:p>
    <w:p w:rsidR="00000000" w:rsidDel="00000000" w:rsidP="00000000" w:rsidRDefault="00000000" w:rsidRPr="00000000" w14:paraId="00000086">
      <w:pPr>
        <w:rPr/>
      </w:pPr>
      <w:r w:rsidDel="00000000" w:rsidR="00000000" w:rsidRPr="00000000">
        <w:rPr>
          <w:b w:val="1"/>
          <w:bCs w:val="1"/>
          <w:rtl w:val="0"/>
        </w:rPr>
        <w:t xml:space="preserve">Scalability to many hypotheses. </w:t>
      </w:r>
      <w:r w:rsidDel="00000000" w:rsidR="00000000" w:rsidRPr="00000000">
        <w:rPr>
          <w:rtl w:val="0"/>
        </w:rPr>
        <w:t xml:space="preserve">We test with n=5 hypotheses and k=3 selection. Scaling to 50 or 500 hypotheses would require larger D to maintain orthogonality, increasing parameters and potentially degrading the frozen codebook approach.</w:t>
      </w:r>
    </w:p>
    <w:p w:rsidR="00000000" w:rsidDel="00000000" w:rsidP="00000000" w:rsidRDefault="00000000" w:rsidRPr="00000000" w14:paraId="00000087">
      <w:pPr>
        <w:pStyle w:val="Heading1"/>
        <w:rPr/>
      </w:pPr>
      <w:r w:rsidDel="00000000" w:rsidR="00000000" w:rsidRPr="00000000">
        <w:rPr>
          <w:rtl w:val="0"/>
        </w:rPr>
        <w:t xml:space="preserve">6. Conclusion</w:t>
      </w:r>
    </w:p>
    <w:p w:rsidR="00000000" w:rsidDel="00000000" w:rsidP="00000000" w:rsidRDefault="00000000" w:rsidRPr="00000000" w14:paraId="00000088">
      <w:pPr>
        <w:rPr/>
      </w:pPr>
      <w:r w:rsidDel="00000000" w:rsidR="00000000" w:rsidRPr="00000000">
        <w:rPr>
          <w:rtl w:val="0"/>
        </w:rPr>
        <w:t xml:space="preserve">We presented IRL, a neural architecture for hypothesis-driven decision making that combines frozen codebook representations with entropy-gated recursive refinement. On the challenging Credit Card Fraud Detection dataset (284,807 transactions), IRL achieves 94.08% AUC-ROC with ~15,000 parameters, demonstrating that constrained architectures can maintain competitive performance while providing explicit uncertainty quantification and interpretable reasoning paths.</w:t>
      </w:r>
    </w:p>
    <w:p w:rsidR="00000000" w:rsidDel="00000000" w:rsidP="00000000" w:rsidRDefault="00000000" w:rsidRPr="00000000" w14:paraId="00000089">
      <w:pPr>
        <w:rPr/>
      </w:pPr>
      <w:r w:rsidDel="00000000" w:rsidR="00000000" w:rsidRPr="00000000">
        <w:rPr>
          <w:rtl w:val="0"/>
        </w:rPr>
        <w:t xml:space="preserve">IRL achieves parameter efficiency (7× fewer parameters than neural baselines) and provides interpretability advantages—explicit hypothesis probabilities, entropy-based confidence scores, and traceable decision paths—at the cost of 3-4% AUC-ROC compared to best-performing ensemble methods. This trade-off is favorable for deployment scenarios where transparency, model size, and uncertainty awareness are valued alongside raw accuracy: medical triage, financial compliance, or edge deployment.</w:t>
      </w:r>
    </w:p>
    <w:p w:rsidR="00000000" w:rsidDel="00000000" w:rsidP="00000000" w:rsidRDefault="00000000" w:rsidRPr="00000000" w14:paraId="0000008A">
      <w:pPr>
        <w:rPr/>
      </w:pPr>
      <w:r w:rsidDel="00000000" w:rsidR="00000000" w:rsidRPr="00000000">
        <w:rPr>
          <w:rtl w:val="0"/>
        </w:rPr>
        <w:t xml:space="preserve">Future work should address cross-domain evaluation, multi-step recursive refinement with varying evidence quality, dynamic hypothesis expansion mechanisms, robustness under adversarial evidence, and systematic scaling studies. For deployment in high-stakes environments where confident errors are costly and decisions must be explainable, IRL offers a pragmatic alternative: bounded scope, explicit uncertainty, and interpretable decision paths.</w:t>
      </w:r>
    </w:p>
    <w:p w:rsidR="00000000" w:rsidDel="00000000" w:rsidP="00000000" w:rsidRDefault="00000000" w:rsidRPr="00000000" w14:paraId="0000008B">
      <w:pPr>
        <w:pStyle w:val="Heading1"/>
        <w:rPr/>
      </w:pPr>
      <w:r w:rsidDel="00000000" w:rsidR="00000000" w:rsidRPr="00000000">
        <w:rPr>
          <w:rtl w:val="0"/>
        </w:rPr>
        <w:t xml:space="preserve">References</w:t>
      </w:r>
    </w:p>
    <w:p w:rsidR="00000000" w:rsidDel="00000000" w:rsidP="00000000" w:rsidRDefault="00000000" w:rsidRPr="00000000" w14:paraId="0000008C">
      <w:pPr>
        <w:rPr/>
      </w:pPr>
      <w:r w:rsidDel="00000000" w:rsidR="00000000" w:rsidRPr="00000000">
        <w:rPr>
          <w:rtl w:val="0"/>
        </w:rPr>
        <w:t xml:space="preserve">[1] N. Elhage, T. Hume, C. Olsson, et al. "Toy Models of Superposition." Transformer Circuits Thread, 2022.</w:t>
      </w:r>
    </w:p>
    <w:p w:rsidR="00000000" w:rsidDel="00000000" w:rsidP="00000000" w:rsidRDefault="00000000" w:rsidRPr="00000000" w14:paraId="0000008D">
      <w:pPr>
        <w:rPr/>
      </w:pPr>
      <w:r w:rsidDel="00000000" w:rsidR="00000000" w:rsidRPr="00000000">
        <w:rPr>
          <w:rtl w:val="0"/>
        </w:rPr>
        <w:t xml:space="preserve">[2] A. Jolicoeur-Martineau. "Less Is More: Recursive Reasoning With Tiny Networks." arXiv:2501.xxxxx, 2025.</w:t>
      </w:r>
    </w:p>
    <w:p w:rsidR="00000000" w:rsidDel="00000000" w:rsidP="00000000" w:rsidRDefault="00000000" w:rsidRPr="00000000" w14:paraId="0000008E">
      <w:pPr>
        <w:rPr/>
      </w:pPr>
      <w:r w:rsidDel="00000000" w:rsidR="00000000" w:rsidRPr="00000000">
        <w:rPr>
          <w:rtl w:val="0"/>
        </w:rPr>
        <w:t xml:space="preserve">[3] C. Blundell, J. Cornebise, K. Kavukcuoglu, D. Wierstra. "Weight Uncertainty in Neural Networks." ICML, 2015.</w:t>
      </w:r>
    </w:p>
    <w:p w:rsidR="00000000" w:rsidDel="00000000" w:rsidP="00000000" w:rsidRDefault="00000000" w:rsidRPr="00000000" w14:paraId="0000008F">
      <w:pPr>
        <w:rPr/>
      </w:pPr>
      <w:r w:rsidDel="00000000" w:rsidR="00000000" w:rsidRPr="00000000">
        <w:rPr>
          <w:rtl w:val="0"/>
        </w:rPr>
        <w:t xml:space="preserve">[4] Y. Gal and Z. Ghahramani. "Dropout as a Bayesian Approximation." ICML, 2016.</w:t>
      </w:r>
    </w:p>
    <w:p w:rsidR="00000000" w:rsidDel="00000000" w:rsidP="00000000" w:rsidRDefault="00000000" w:rsidRPr="00000000" w14:paraId="00000090">
      <w:pPr>
        <w:rPr/>
      </w:pPr>
      <w:r w:rsidDel="00000000" w:rsidR="00000000" w:rsidRPr="00000000">
        <w:rPr>
          <w:rtl w:val="0"/>
        </w:rPr>
        <w:t xml:space="preserve">[5] B. Lakshminarayanan, A. Pritzel, C. Blundell. "Simple and Scalable Predictive Uncertainty Estimation using Deep Ensembles." NeurIPS, 2017.</w:t>
      </w:r>
    </w:p>
    <w:p w:rsidR="00000000" w:rsidDel="00000000" w:rsidP="00000000" w:rsidRDefault="00000000" w:rsidRPr="00000000" w14:paraId="00000091">
      <w:pPr>
        <w:rPr/>
      </w:pPr>
      <w:r w:rsidDel="00000000" w:rsidR="00000000" w:rsidRPr="00000000">
        <w:rPr>
          <w:rtl w:val="0"/>
        </w:rPr>
        <w:t xml:space="preserve">[6] A. N. Angelopoulos and S. Bates. "A Gentle Introduction to Conformal Prediction." arXiv:2107.07511, 2021.</w:t>
      </w:r>
    </w:p>
    <w:p w:rsidR="00000000" w:rsidDel="00000000" w:rsidP="00000000" w:rsidRDefault="00000000" w:rsidRPr="00000000" w14:paraId="00000092">
      <w:pPr>
        <w:rPr/>
      </w:pPr>
      <w:r w:rsidDel="00000000" w:rsidR="00000000" w:rsidRPr="00000000">
        <w:rPr>
          <w:rtl w:val="0"/>
        </w:rPr>
        <w:t xml:space="preserve">[7] C. Geifman and R. El-Yaniv. "Selective Prediction." ICML, 2017.</w:t>
      </w:r>
    </w:p>
    <w:p w:rsidR="00000000" w:rsidDel="00000000" w:rsidP="00000000" w:rsidRDefault="00000000" w:rsidRPr="00000000" w14:paraId="00000093">
      <w:pPr>
        <w:rPr/>
      </w:pPr>
      <w:r w:rsidDel="00000000" w:rsidR="00000000" w:rsidRPr="00000000">
        <w:rPr>
          <w:rtl w:val="0"/>
        </w:rPr>
        <w:t xml:space="preserve">[8] S. Russell and P. Norvig. Artificial Intelligence: A Modern Approach. 4th edition, 2020.</w:t>
      </w:r>
    </w:p>
    <w:p w:rsidR="00000000" w:rsidDel="00000000" w:rsidP="00000000" w:rsidRDefault="00000000" w:rsidRPr="00000000" w14:paraId="00000094">
      <w:pPr>
        <w:rPr/>
      </w:pPr>
      <w:r w:rsidDel="00000000" w:rsidR="00000000" w:rsidRPr="00000000">
        <w:rPr>
          <w:rtl w:val="0"/>
        </w:rPr>
        <w:t xml:space="preserve">[9] N. D. Goodman, V. K. Mansinghka, D. M. Roy, et al. "Church: A Language for Generative Models." UAI, 2008.</w:t>
      </w:r>
    </w:p>
    <w:p w:rsidR="00000000" w:rsidDel="00000000" w:rsidP="00000000" w:rsidRDefault="00000000" w:rsidRPr="00000000" w14:paraId="00000095">
      <w:pPr>
        <w:rPr/>
      </w:pPr>
      <w:r w:rsidDel="00000000" w:rsidR="00000000" w:rsidRPr="00000000">
        <w:rPr>
          <w:rtl w:val="0"/>
        </w:rPr>
        <w:t xml:space="preserve">[10] A. Garcez and L. C. Lamb. "Neurosymbolic AI: The 3rd Wave." Artificial Intelligence Review, 2023.</w:t>
      </w:r>
    </w:p>
    <w:p w:rsidR="00000000" w:rsidDel="00000000" w:rsidP="00000000" w:rsidRDefault="00000000" w:rsidRPr="00000000" w14:paraId="00000096">
      <w:pPr>
        <w:rPr/>
      </w:pPr>
      <w:r w:rsidDel="00000000" w:rsidR="00000000" w:rsidRPr="00000000">
        <w:rPr>
          <w:rtl w:val="0"/>
        </w:rPr>
        <w:t xml:space="preserve">[11] Machine Learning Group - ULB. "Credit Card Fraud Detection." Kaggle, 2018.</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libri" w:cs="Calibri" w:eastAsia="Calibri" w:hAnsi="Calibri"/>
        <w:b w:val="1"/>
        <w:bCs w:val="1"/>
      </w:rPr>
    </w:tblStylePr>
    <w:tblStylePr w:type="firstRow">
      <w:pPr>
        <w:spacing w:after="0" w:before="0" w:line="240" w:lineRule="auto"/>
      </w:pPr>
      <w:rPr>
        <w:rFonts w:ascii="Calibri" w:cs="Calibri" w:eastAsia="Calibri" w:hAnsi="Calibri"/>
        <w:b w:val="1"/>
        <w:bCs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libri" w:cs="Calibri" w:eastAsia="Calibri" w:hAnsi="Calibri"/>
        <w:b w:val="1"/>
        <w:bCs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libri" w:cs="Calibri" w:eastAsia="Calibri" w:hAnsi="Calibri"/>
        <w:b w:val="1"/>
        <w:bCs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libri" w:cs="Calibri" w:eastAsia="Calibri" w:hAnsi="Calibri"/>
        <w:b w:val="1"/>
        <w:bCs w:val="1"/>
      </w:rPr>
    </w:tblStylePr>
    <w:tblStylePr w:type="firstRow">
      <w:pPr>
        <w:spacing w:after="0" w:before="0" w:line="240" w:lineRule="auto"/>
      </w:pPr>
      <w:rPr>
        <w:rFonts w:ascii="Calibri" w:cs="Calibri" w:eastAsia="Calibri" w:hAnsi="Calibri"/>
        <w:b w:val="1"/>
        <w:bCs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libri" w:cs="Calibri" w:eastAsia="Calibri" w:hAnsi="Calibri"/>
        <w:b w:val="1"/>
        <w:bCs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libri" w:cs="Calibri" w:eastAsia="Calibri" w:hAnsi="Calibri"/>
        <w:b w:val="1"/>
        <w:bCs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